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2A3250">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C55D34">
        <w:tc>
          <w:tcPr>
            <w:tcW w:w="8978" w:type="dxa"/>
          </w:tcPr>
          <w:p w:rsidR="00D35AD6" w:rsidRPr="009E00C1" w:rsidRDefault="002A3250"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2A3250"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E86DD8" w:rsidRPr="00A83D6D" w:rsidRDefault="002A3250" w:rsidP="00E86DD8">
      <w:pPr>
        <w:rPr>
          <w:rFonts w:cs="Arial"/>
        </w:rPr>
      </w:pPr>
      <w:r w:rsidRPr="00A83D6D">
        <w:rPr>
          <w:rFonts w:cs="Arial"/>
          <w:b/>
        </w:rPr>
        <w:lastRenderedPageBreak/>
        <w:t>PARA:</w:t>
      </w:r>
      <w:r w:rsidRPr="00A83D6D">
        <w:rPr>
          <w:rFonts w:cs="Arial"/>
          <w:b/>
        </w:rPr>
        <w:tab/>
      </w:r>
      <w:r w:rsidRPr="00A83D6D">
        <w:rPr>
          <w:rFonts w:cs="Arial"/>
        </w:rPr>
        <w:t xml:space="preserve"> </w:t>
      </w:r>
      <w:r w:rsidRPr="00A83D6D">
        <w:rPr>
          <w:rFonts w:cs="Arial"/>
        </w:rPr>
        <w:tab/>
      </w:r>
      <w:r w:rsidRPr="00A83D6D">
        <w:rPr>
          <w:rFonts w:cs="Arial"/>
          <w:b/>
        </w:rPr>
        <w:t>Dra. MARIA TERESA VELANDIA FERNANDEZ</w:t>
      </w:r>
    </w:p>
    <w:p w:rsidR="00E86DD8" w:rsidRPr="00A83D6D" w:rsidRDefault="002A3250" w:rsidP="00E86DD8">
      <w:pPr>
        <w:rPr>
          <w:rFonts w:cs="Arial"/>
        </w:rPr>
      </w:pPr>
      <w:r w:rsidRPr="00A83D6D">
        <w:rPr>
          <w:rFonts w:cs="Arial"/>
        </w:rPr>
        <w:tab/>
      </w:r>
      <w:r w:rsidRPr="00A83D6D">
        <w:rPr>
          <w:rFonts w:cs="Arial"/>
        </w:rPr>
        <w:tab/>
      </w:r>
      <w:r w:rsidRPr="00A83D6D">
        <w:rPr>
          <w:rFonts w:cs="Arial"/>
        </w:rPr>
        <w:tab/>
        <w:t>Responsable Proceso de Gestión del Talento Humano</w:t>
      </w:r>
    </w:p>
    <w:p w:rsidR="00E86DD8" w:rsidRPr="00A83D6D" w:rsidRDefault="002A3250" w:rsidP="00E86DD8">
      <w:pPr>
        <w:rPr>
          <w:rFonts w:cs="Arial"/>
        </w:rPr>
      </w:pPr>
    </w:p>
    <w:p w:rsidR="00E86DD8" w:rsidRPr="00A83D6D" w:rsidRDefault="002A3250" w:rsidP="00E86DD8">
      <w:pPr>
        <w:rPr>
          <w:rFonts w:cs="Arial"/>
          <w:b/>
        </w:rPr>
      </w:pPr>
      <w:r w:rsidRPr="00A83D6D">
        <w:rPr>
          <w:rFonts w:cs="Arial"/>
          <w:b/>
        </w:rPr>
        <w:t>DE:</w:t>
      </w:r>
      <w:r w:rsidRPr="00A83D6D">
        <w:rPr>
          <w:rFonts w:cs="Arial"/>
          <w:b/>
        </w:rPr>
        <w:tab/>
      </w:r>
      <w:r w:rsidRPr="00A83D6D">
        <w:rPr>
          <w:rFonts w:cs="Arial"/>
          <w:b/>
        </w:rPr>
        <w:tab/>
      </w:r>
      <w:r w:rsidRPr="00A83D6D">
        <w:rPr>
          <w:rFonts w:cs="Arial"/>
          <w:b/>
        </w:rPr>
        <w:tab/>
        <w:t>JEFE OFICINA DE CONTROL INTERNO</w:t>
      </w:r>
    </w:p>
    <w:p w:rsidR="00E86DD8" w:rsidRPr="001F71AE" w:rsidRDefault="002A3250" w:rsidP="00E86DD8">
      <w:pPr>
        <w:rPr>
          <w:rFonts w:cs="Arial"/>
          <w:color w:val="FF0000"/>
        </w:rPr>
      </w:pPr>
    </w:p>
    <w:p w:rsidR="00E86DD8" w:rsidRPr="001F71AE" w:rsidRDefault="002A3250" w:rsidP="00E86DD8">
      <w:pPr>
        <w:rPr>
          <w:rFonts w:cs="Arial"/>
          <w:color w:val="FF0000"/>
        </w:rPr>
      </w:pPr>
    </w:p>
    <w:p w:rsidR="00E86DD8" w:rsidRPr="00A83D6D" w:rsidRDefault="002A3250" w:rsidP="00E86DD8">
      <w:pPr>
        <w:ind w:left="2124" w:hanging="2124"/>
        <w:jc w:val="both"/>
        <w:rPr>
          <w:rFonts w:cs="Arial"/>
        </w:rPr>
      </w:pPr>
      <w:r w:rsidRPr="00A83D6D">
        <w:rPr>
          <w:rFonts w:cs="Arial"/>
          <w:b/>
        </w:rPr>
        <w:t>ASUNTO:</w:t>
      </w:r>
      <w:r w:rsidRPr="00A83D6D">
        <w:rPr>
          <w:rFonts w:cs="Arial"/>
        </w:rPr>
        <w:tab/>
        <w:t xml:space="preserve">Informe de seguimiento Plan de </w:t>
      </w:r>
      <w:r w:rsidRPr="00A83D6D">
        <w:rPr>
          <w:rFonts w:cs="Arial"/>
        </w:rPr>
        <w:t>Mejoramiento – Acciones Correctivas</w:t>
      </w:r>
      <w:r>
        <w:rPr>
          <w:rFonts w:cs="Arial"/>
        </w:rPr>
        <w:t xml:space="preserve"> </w:t>
      </w:r>
      <w:r w:rsidRPr="00A83D6D">
        <w:rPr>
          <w:rFonts w:cs="Arial"/>
        </w:rPr>
        <w:t>y de Mejora</w:t>
      </w:r>
      <w:r>
        <w:rPr>
          <w:rFonts w:cs="Arial"/>
        </w:rPr>
        <w:t>, Evaluación y Seguimiento de los riesgos</w:t>
      </w:r>
      <w:r w:rsidRPr="00A83D6D">
        <w:rPr>
          <w:rFonts w:cs="Arial"/>
        </w:rPr>
        <w:t xml:space="preserve"> – a septiembre de 2015</w:t>
      </w:r>
    </w:p>
    <w:p w:rsidR="00E86DD8" w:rsidRPr="001F71AE" w:rsidRDefault="002A3250" w:rsidP="00E86DD8">
      <w:pPr>
        <w:ind w:left="2124" w:hanging="2124"/>
        <w:rPr>
          <w:rFonts w:cs="Arial"/>
          <w:color w:val="FF0000"/>
        </w:rPr>
      </w:pPr>
    </w:p>
    <w:p w:rsidR="00E86DD8" w:rsidRPr="001F71AE" w:rsidRDefault="002A3250" w:rsidP="00E86DD8">
      <w:pPr>
        <w:ind w:left="2124" w:hanging="2124"/>
        <w:rPr>
          <w:rFonts w:cs="Arial"/>
          <w:color w:val="FF0000"/>
        </w:rPr>
      </w:pPr>
    </w:p>
    <w:p w:rsidR="00E86DD8" w:rsidRPr="000D0E17" w:rsidRDefault="002A3250" w:rsidP="00E86DD8">
      <w:pPr>
        <w:widowControl w:val="0"/>
        <w:autoSpaceDE w:val="0"/>
        <w:autoSpaceDN w:val="0"/>
        <w:adjustRightInd w:val="0"/>
        <w:jc w:val="both"/>
        <w:rPr>
          <w:rFonts w:cs="Arial"/>
        </w:rPr>
      </w:pPr>
      <w:r w:rsidRPr="000D0E17">
        <w:rPr>
          <w:rFonts w:cs="Arial"/>
        </w:rPr>
        <w:t xml:space="preserve">De conformidad con el Programa Anual de Evaluaciones Independientes PAEI Vigencia 2015, de manera atenta me permito comunicarle el resultado </w:t>
      </w:r>
      <w:r w:rsidRPr="000D0E17">
        <w:rPr>
          <w:rFonts w:cs="Arial"/>
        </w:rPr>
        <w:t>del estado de las acciones contenidas en el Plan de Mejoramiento Anexo1 - Acciones Correctivas y de Mejora, así como</w:t>
      </w:r>
      <w:r>
        <w:rPr>
          <w:rFonts w:cs="Arial"/>
        </w:rPr>
        <w:t xml:space="preserve"> las incluidas </w:t>
      </w:r>
      <w:r w:rsidRPr="000D0E17">
        <w:rPr>
          <w:rFonts w:cs="Arial"/>
        </w:rPr>
        <w:t>en el Plan de Evaluación y Seguimiento de los riesgos con corte a septiembre de 2015, correspondiente al proceso de Gestión d</w:t>
      </w:r>
      <w:r w:rsidRPr="000D0E17">
        <w:rPr>
          <w:rFonts w:cs="Arial"/>
        </w:rPr>
        <w:t>el Talento Humano.</w:t>
      </w:r>
    </w:p>
    <w:p w:rsidR="00E86DD8" w:rsidRPr="000D0E17" w:rsidRDefault="002A3250" w:rsidP="00E86DD8">
      <w:pPr>
        <w:widowControl w:val="0"/>
        <w:autoSpaceDE w:val="0"/>
        <w:autoSpaceDN w:val="0"/>
        <w:adjustRightInd w:val="0"/>
        <w:jc w:val="both"/>
        <w:rPr>
          <w:rFonts w:cs="Arial"/>
          <w:color w:val="FF0000"/>
          <w:szCs w:val="22"/>
        </w:rPr>
      </w:pPr>
    </w:p>
    <w:p w:rsidR="00E86DD8" w:rsidRPr="000D0E17" w:rsidRDefault="002A3250" w:rsidP="00E86DD8">
      <w:pPr>
        <w:widowControl w:val="0"/>
        <w:autoSpaceDE w:val="0"/>
        <w:autoSpaceDN w:val="0"/>
        <w:adjustRightInd w:val="0"/>
        <w:jc w:val="both"/>
        <w:rPr>
          <w:rFonts w:cs="Arial"/>
        </w:rPr>
      </w:pPr>
      <w:r w:rsidRPr="000D0E17">
        <w:rPr>
          <w:rFonts w:cs="Arial"/>
          <w:szCs w:val="22"/>
        </w:rPr>
        <w:t>En la siguiente tabla se resume por origen</w:t>
      </w:r>
      <w:r>
        <w:rPr>
          <w:rFonts w:cs="Arial"/>
          <w:szCs w:val="22"/>
        </w:rPr>
        <w:t>,</w:t>
      </w:r>
      <w:r w:rsidRPr="000D0E17">
        <w:rPr>
          <w:rFonts w:cs="Arial"/>
          <w:szCs w:val="22"/>
        </w:rPr>
        <w:t xml:space="preserve"> el resultado de la verificación</w:t>
      </w:r>
      <w:r w:rsidRPr="000D0E17">
        <w:rPr>
          <w:rFonts w:cs="Arial"/>
        </w:rPr>
        <w:t xml:space="preserve"> al cumplimiento de las acciones establecidas en el Plan de Mejoramiento del proceso:</w:t>
      </w:r>
    </w:p>
    <w:p w:rsidR="00E86DD8" w:rsidRPr="001F71AE" w:rsidRDefault="002A3250" w:rsidP="00E86DD8">
      <w:pPr>
        <w:widowControl w:val="0"/>
        <w:autoSpaceDE w:val="0"/>
        <w:autoSpaceDN w:val="0"/>
        <w:adjustRightInd w:val="0"/>
        <w:jc w:val="both"/>
        <w:rPr>
          <w:rFonts w:cs="Arial"/>
          <w:color w:val="FF0000"/>
        </w:rPr>
      </w:pPr>
    </w:p>
    <w:p w:rsidR="00E86DD8" w:rsidRDefault="002A3250" w:rsidP="00E86DD8">
      <w:pPr>
        <w:jc w:val="center"/>
        <w:rPr>
          <w:rFonts w:cs="Arial"/>
          <w:b/>
          <w:sz w:val="22"/>
          <w:szCs w:val="22"/>
        </w:rPr>
      </w:pPr>
      <w:r w:rsidRPr="000D0E17">
        <w:rPr>
          <w:rFonts w:cs="Arial"/>
          <w:b/>
          <w:sz w:val="22"/>
          <w:szCs w:val="22"/>
        </w:rPr>
        <w:t>Tabla 1</w:t>
      </w:r>
    </w:p>
    <w:p w:rsidR="00E86DD8" w:rsidRPr="000D0E17" w:rsidRDefault="002A3250" w:rsidP="00E86DD8">
      <w:pPr>
        <w:jc w:val="center"/>
        <w:rPr>
          <w:rFonts w:cs="Arial"/>
          <w:b/>
          <w:sz w:val="22"/>
          <w:szCs w:val="22"/>
        </w:rPr>
      </w:pPr>
    </w:p>
    <w:p w:rsidR="00E86DD8" w:rsidRPr="000D0E17" w:rsidRDefault="002A3250" w:rsidP="00E86DD8">
      <w:pPr>
        <w:jc w:val="center"/>
        <w:rPr>
          <w:rFonts w:cs="Arial"/>
          <w:b/>
          <w:sz w:val="22"/>
          <w:szCs w:val="22"/>
        </w:rPr>
      </w:pPr>
      <w:r w:rsidRPr="000D0E17">
        <w:rPr>
          <w:rFonts w:cs="Arial"/>
          <w:b/>
          <w:sz w:val="22"/>
          <w:szCs w:val="22"/>
        </w:rPr>
        <w:t>“Plan de Mejoramiento-Acciones Correctivas y de Mejora”</w:t>
      </w:r>
    </w:p>
    <w:p w:rsidR="00E86DD8" w:rsidRPr="000D0E17" w:rsidRDefault="002A3250" w:rsidP="00E86DD8">
      <w:pPr>
        <w:jc w:val="center"/>
        <w:rPr>
          <w:rFonts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328"/>
        <w:gridCol w:w="1239"/>
        <w:gridCol w:w="1350"/>
        <w:gridCol w:w="1339"/>
        <w:gridCol w:w="1117"/>
        <w:gridCol w:w="1032"/>
      </w:tblGrid>
      <w:tr w:rsidR="00C55D34" w:rsidTr="002F1751">
        <w:tc>
          <w:tcPr>
            <w:tcW w:w="1775" w:type="dxa"/>
            <w:shd w:val="clear" w:color="auto" w:fill="C0C0C0"/>
            <w:vAlign w:val="center"/>
          </w:tcPr>
          <w:p w:rsidR="00E86DD8" w:rsidRPr="000D0E17" w:rsidRDefault="002A3250" w:rsidP="002F1751">
            <w:pPr>
              <w:jc w:val="center"/>
              <w:rPr>
                <w:rFonts w:cs="Arial"/>
                <w:b/>
                <w:sz w:val="18"/>
                <w:szCs w:val="18"/>
              </w:rPr>
            </w:pPr>
            <w:r w:rsidRPr="000D0E17">
              <w:rPr>
                <w:rFonts w:cs="Arial"/>
                <w:sz w:val="18"/>
                <w:szCs w:val="18"/>
              </w:rPr>
              <w:t xml:space="preserve"> </w:t>
            </w:r>
            <w:r w:rsidRPr="000D0E17">
              <w:rPr>
                <w:rFonts w:cs="Arial"/>
                <w:b/>
                <w:sz w:val="18"/>
                <w:szCs w:val="18"/>
              </w:rPr>
              <w:t>ORIGEN</w:t>
            </w:r>
          </w:p>
        </w:tc>
        <w:tc>
          <w:tcPr>
            <w:tcW w:w="1328"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TIPO DE ACCIÓN (Correctiva, Preventiva o de Mejora)</w:t>
            </w:r>
          </w:p>
        </w:tc>
        <w:tc>
          <w:tcPr>
            <w:tcW w:w="1239"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ABIERTAS (A)</w:t>
            </w:r>
          </w:p>
        </w:tc>
        <w:tc>
          <w:tcPr>
            <w:tcW w:w="1350"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CERRADAS (C)</w:t>
            </w:r>
          </w:p>
        </w:tc>
        <w:tc>
          <w:tcPr>
            <w:tcW w:w="1339"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MITIGADAS (M)</w:t>
            </w:r>
          </w:p>
        </w:tc>
        <w:tc>
          <w:tcPr>
            <w:tcW w:w="1117"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SE SUGIERE EL CIERRE (A*)</w:t>
            </w:r>
          </w:p>
        </w:tc>
        <w:tc>
          <w:tcPr>
            <w:tcW w:w="1032"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TOTAL A+C+M</w:t>
            </w:r>
          </w:p>
        </w:tc>
      </w:tr>
      <w:tr w:rsidR="00C55D34" w:rsidTr="002F1751">
        <w:tc>
          <w:tcPr>
            <w:tcW w:w="1775"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3-Auditoria del SIG</w:t>
            </w:r>
          </w:p>
        </w:tc>
        <w:tc>
          <w:tcPr>
            <w:tcW w:w="1328"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Correctiva</w:t>
            </w:r>
          </w:p>
        </w:tc>
        <w:tc>
          <w:tcPr>
            <w:tcW w:w="1239"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1</w:t>
            </w:r>
          </w:p>
        </w:tc>
        <w:tc>
          <w:tcPr>
            <w:tcW w:w="1350"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339"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117"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032"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1</w:t>
            </w:r>
          </w:p>
        </w:tc>
      </w:tr>
      <w:tr w:rsidR="00C55D34" w:rsidTr="002F1751">
        <w:tc>
          <w:tcPr>
            <w:tcW w:w="1775"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6-Auditoria Fiscal</w:t>
            </w:r>
          </w:p>
        </w:tc>
        <w:tc>
          <w:tcPr>
            <w:tcW w:w="1328"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Correctiva</w:t>
            </w:r>
          </w:p>
        </w:tc>
        <w:tc>
          <w:tcPr>
            <w:tcW w:w="1239"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350"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339"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117"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1</w:t>
            </w:r>
          </w:p>
        </w:tc>
        <w:tc>
          <w:tcPr>
            <w:tcW w:w="1032"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1</w:t>
            </w:r>
          </w:p>
        </w:tc>
      </w:tr>
      <w:tr w:rsidR="00C55D34" w:rsidTr="002F1751">
        <w:trPr>
          <w:trHeight w:val="186"/>
        </w:trPr>
        <w:tc>
          <w:tcPr>
            <w:tcW w:w="3103" w:type="dxa"/>
            <w:gridSpan w:val="2"/>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TOTAL PARCIAL</w:t>
            </w:r>
          </w:p>
        </w:tc>
        <w:tc>
          <w:tcPr>
            <w:tcW w:w="1239"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1</w:t>
            </w:r>
          </w:p>
        </w:tc>
        <w:tc>
          <w:tcPr>
            <w:tcW w:w="1350"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0</w:t>
            </w:r>
          </w:p>
        </w:tc>
        <w:tc>
          <w:tcPr>
            <w:tcW w:w="1339"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0</w:t>
            </w:r>
          </w:p>
        </w:tc>
        <w:tc>
          <w:tcPr>
            <w:tcW w:w="1117"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1</w:t>
            </w:r>
          </w:p>
        </w:tc>
        <w:tc>
          <w:tcPr>
            <w:tcW w:w="1032"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2</w:t>
            </w:r>
          </w:p>
        </w:tc>
      </w:tr>
      <w:tr w:rsidR="00C55D34" w:rsidTr="002F1751">
        <w:trPr>
          <w:trHeight w:val="300"/>
        </w:trPr>
        <w:tc>
          <w:tcPr>
            <w:tcW w:w="9180" w:type="dxa"/>
            <w:gridSpan w:val="7"/>
            <w:tcBorders>
              <w:bottom w:val="single" w:sz="4" w:space="0" w:color="auto"/>
            </w:tcBorders>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 xml:space="preserve">HALLAZGOS </w:t>
            </w:r>
            <w:r w:rsidRPr="000D0E17">
              <w:rPr>
                <w:rFonts w:cs="Arial"/>
                <w:b/>
                <w:sz w:val="18"/>
                <w:szCs w:val="18"/>
              </w:rPr>
              <w:t>INGRESADOS EN EL TRIMESTRE EN ANALISIS ( TERCER TRIMESTRE DE 2015)</w:t>
            </w:r>
          </w:p>
        </w:tc>
      </w:tr>
      <w:tr w:rsidR="00C55D34" w:rsidTr="002F1751">
        <w:tc>
          <w:tcPr>
            <w:tcW w:w="1775"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6-Auditoria Fiscal</w:t>
            </w:r>
          </w:p>
        </w:tc>
        <w:tc>
          <w:tcPr>
            <w:tcW w:w="1328"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Correctiva</w:t>
            </w:r>
          </w:p>
        </w:tc>
        <w:tc>
          <w:tcPr>
            <w:tcW w:w="1239" w:type="dxa"/>
            <w:shd w:val="clear" w:color="auto" w:fill="auto"/>
            <w:vAlign w:val="center"/>
          </w:tcPr>
          <w:p w:rsidR="00E86DD8" w:rsidRPr="000D0E17" w:rsidRDefault="002A3250" w:rsidP="002F1751">
            <w:pPr>
              <w:jc w:val="center"/>
              <w:rPr>
                <w:rFonts w:cs="Arial"/>
                <w:sz w:val="18"/>
                <w:szCs w:val="18"/>
              </w:rPr>
            </w:pPr>
            <w:r>
              <w:rPr>
                <w:rFonts w:cs="Arial"/>
                <w:sz w:val="18"/>
                <w:szCs w:val="18"/>
              </w:rPr>
              <w:t>0</w:t>
            </w:r>
          </w:p>
        </w:tc>
        <w:tc>
          <w:tcPr>
            <w:tcW w:w="1350"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339"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0</w:t>
            </w:r>
          </w:p>
        </w:tc>
        <w:tc>
          <w:tcPr>
            <w:tcW w:w="1117" w:type="dxa"/>
            <w:shd w:val="clear" w:color="auto" w:fill="auto"/>
            <w:vAlign w:val="center"/>
          </w:tcPr>
          <w:p w:rsidR="00E86DD8" w:rsidRPr="000D0E17" w:rsidRDefault="002A3250" w:rsidP="002F1751">
            <w:pPr>
              <w:jc w:val="center"/>
              <w:rPr>
                <w:rFonts w:cs="Arial"/>
                <w:sz w:val="18"/>
                <w:szCs w:val="18"/>
              </w:rPr>
            </w:pPr>
            <w:r w:rsidRPr="000D0E17">
              <w:rPr>
                <w:rFonts w:cs="Arial"/>
                <w:sz w:val="18"/>
                <w:szCs w:val="18"/>
              </w:rPr>
              <w:t>1</w:t>
            </w:r>
          </w:p>
        </w:tc>
        <w:tc>
          <w:tcPr>
            <w:tcW w:w="1032" w:type="dxa"/>
            <w:shd w:val="clear" w:color="auto" w:fill="auto"/>
            <w:vAlign w:val="center"/>
          </w:tcPr>
          <w:p w:rsidR="00E86DD8" w:rsidRPr="000D0E17" w:rsidRDefault="002A3250" w:rsidP="002F1751">
            <w:pPr>
              <w:jc w:val="center"/>
              <w:rPr>
                <w:rFonts w:cs="Arial"/>
                <w:sz w:val="18"/>
                <w:szCs w:val="18"/>
              </w:rPr>
            </w:pPr>
            <w:r>
              <w:rPr>
                <w:rFonts w:cs="Arial"/>
                <w:sz w:val="18"/>
                <w:szCs w:val="18"/>
              </w:rPr>
              <w:t>1</w:t>
            </w:r>
          </w:p>
        </w:tc>
      </w:tr>
      <w:tr w:rsidR="00C55D34" w:rsidTr="002F1751">
        <w:tc>
          <w:tcPr>
            <w:tcW w:w="3103" w:type="dxa"/>
            <w:gridSpan w:val="2"/>
            <w:tcBorders>
              <w:bottom w:val="single" w:sz="4" w:space="0" w:color="auto"/>
            </w:tcBorders>
            <w:shd w:val="clear" w:color="auto" w:fill="C0C0C0"/>
          </w:tcPr>
          <w:p w:rsidR="00E86DD8" w:rsidRPr="000D0E17" w:rsidRDefault="002A3250" w:rsidP="002F1751">
            <w:pPr>
              <w:jc w:val="center"/>
              <w:rPr>
                <w:rFonts w:cs="Arial"/>
                <w:b/>
                <w:sz w:val="18"/>
                <w:szCs w:val="18"/>
              </w:rPr>
            </w:pPr>
            <w:r w:rsidRPr="000D0E17">
              <w:rPr>
                <w:rFonts w:cs="Arial"/>
                <w:b/>
                <w:sz w:val="18"/>
                <w:szCs w:val="18"/>
              </w:rPr>
              <w:t>TOTAL PARCIAL</w:t>
            </w:r>
          </w:p>
        </w:tc>
        <w:tc>
          <w:tcPr>
            <w:tcW w:w="1239" w:type="dxa"/>
            <w:tcBorders>
              <w:bottom w:val="single" w:sz="4" w:space="0" w:color="auto"/>
            </w:tcBorders>
            <w:shd w:val="clear" w:color="auto" w:fill="C0C0C0"/>
            <w:vAlign w:val="center"/>
          </w:tcPr>
          <w:p w:rsidR="00E86DD8" w:rsidRPr="000D0E17" w:rsidRDefault="002A3250" w:rsidP="002F1751">
            <w:pPr>
              <w:jc w:val="center"/>
              <w:rPr>
                <w:rFonts w:cs="Arial"/>
                <w:b/>
                <w:sz w:val="18"/>
                <w:szCs w:val="18"/>
              </w:rPr>
            </w:pPr>
            <w:r>
              <w:rPr>
                <w:rFonts w:cs="Arial"/>
                <w:b/>
                <w:sz w:val="18"/>
                <w:szCs w:val="18"/>
              </w:rPr>
              <w:t>0</w:t>
            </w:r>
          </w:p>
        </w:tc>
        <w:tc>
          <w:tcPr>
            <w:tcW w:w="1350" w:type="dxa"/>
            <w:tcBorders>
              <w:bottom w:val="single" w:sz="4" w:space="0" w:color="auto"/>
            </w:tcBorders>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0</w:t>
            </w:r>
          </w:p>
        </w:tc>
        <w:tc>
          <w:tcPr>
            <w:tcW w:w="1339" w:type="dxa"/>
            <w:tcBorders>
              <w:bottom w:val="single" w:sz="4" w:space="0" w:color="auto"/>
            </w:tcBorders>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0</w:t>
            </w:r>
          </w:p>
        </w:tc>
        <w:tc>
          <w:tcPr>
            <w:tcW w:w="1117" w:type="dxa"/>
            <w:tcBorders>
              <w:bottom w:val="single" w:sz="4" w:space="0" w:color="auto"/>
            </w:tcBorders>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1</w:t>
            </w:r>
          </w:p>
        </w:tc>
        <w:tc>
          <w:tcPr>
            <w:tcW w:w="1032" w:type="dxa"/>
            <w:tcBorders>
              <w:bottom w:val="single" w:sz="4" w:space="0" w:color="auto"/>
            </w:tcBorders>
            <w:shd w:val="clear" w:color="auto" w:fill="C0C0C0"/>
            <w:vAlign w:val="center"/>
          </w:tcPr>
          <w:p w:rsidR="00E86DD8" w:rsidRPr="000D0E17" w:rsidRDefault="002A3250" w:rsidP="002F1751">
            <w:pPr>
              <w:jc w:val="center"/>
              <w:rPr>
                <w:rFonts w:cs="Arial"/>
                <w:b/>
                <w:sz w:val="18"/>
                <w:szCs w:val="18"/>
              </w:rPr>
            </w:pPr>
            <w:r>
              <w:rPr>
                <w:rFonts w:cs="Arial"/>
                <w:b/>
                <w:sz w:val="18"/>
                <w:szCs w:val="18"/>
              </w:rPr>
              <w:t>1</w:t>
            </w:r>
          </w:p>
        </w:tc>
      </w:tr>
      <w:tr w:rsidR="00C55D34" w:rsidTr="002F1751">
        <w:tc>
          <w:tcPr>
            <w:tcW w:w="3103" w:type="dxa"/>
            <w:gridSpan w:val="2"/>
            <w:shd w:val="clear" w:color="auto" w:fill="C0C0C0"/>
          </w:tcPr>
          <w:p w:rsidR="00E86DD8" w:rsidRPr="000D0E17" w:rsidRDefault="002A3250" w:rsidP="002F1751">
            <w:pPr>
              <w:jc w:val="center"/>
              <w:rPr>
                <w:rFonts w:cs="Arial"/>
                <w:b/>
                <w:sz w:val="18"/>
                <w:szCs w:val="18"/>
              </w:rPr>
            </w:pPr>
            <w:r w:rsidRPr="000D0E17">
              <w:rPr>
                <w:rFonts w:cs="Arial"/>
                <w:b/>
                <w:sz w:val="18"/>
                <w:szCs w:val="18"/>
              </w:rPr>
              <w:t>TOTAL GENERAL</w:t>
            </w:r>
          </w:p>
        </w:tc>
        <w:tc>
          <w:tcPr>
            <w:tcW w:w="1239" w:type="dxa"/>
            <w:shd w:val="clear" w:color="auto" w:fill="C0C0C0"/>
            <w:vAlign w:val="center"/>
          </w:tcPr>
          <w:p w:rsidR="00E86DD8" w:rsidRPr="000D0E17" w:rsidRDefault="002A3250" w:rsidP="002F1751">
            <w:pPr>
              <w:jc w:val="center"/>
              <w:rPr>
                <w:rFonts w:cs="Arial"/>
                <w:b/>
                <w:sz w:val="18"/>
                <w:szCs w:val="18"/>
              </w:rPr>
            </w:pPr>
            <w:r>
              <w:rPr>
                <w:rFonts w:cs="Arial"/>
                <w:b/>
                <w:sz w:val="18"/>
                <w:szCs w:val="18"/>
              </w:rPr>
              <w:t>1</w:t>
            </w:r>
          </w:p>
        </w:tc>
        <w:tc>
          <w:tcPr>
            <w:tcW w:w="1350"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0</w:t>
            </w:r>
          </w:p>
        </w:tc>
        <w:tc>
          <w:tcPr>
            <w:tcW w:w="1339"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0</w:t>
            </w:r>
          </w:p>
        </w:tc>
        <w:tc>
          <w:tcPr>
            <w:tcW w:w="1117" w:type="dxa"/>
            <w:shd w:val="clear" w:color="auto" w:fill="C0C0C0"/>
            <w:vAlign w:val="center"/>
          </w:tcPr>
          <w:p w:rsidR="00E86DD8" w:rsidRPr="000D0E17" w:rsidRDefault="002A3250" w:rsidP="002F1751">
            <w:pPr>
              <w:jc w:val="center"/>
              <w:rPr>
                <w:rFonts w:cs="Arial"/>
                <w:b/>
                <w:sz w:val="18"/>
                <w:szCs w:val="18"/>
              </w:rPr>
            </w:pPr>
            <w:r w:rsidRPr="000D0E17">
              <w:rPr>
                <w:rFonts w:cs="Arial"/>
                <w:b/>
                <w:sz w:val="18"/>
                <w:szCs w:val="18"/>
              </w:rPr>
              <w:t>2</w:t>
            </w:r>
          </w:p>
        </w:tc>
        <w:tc>
          <w:tcPr>
            <w:tcW w:w="1032" w:type="dxa"/>
            <w:shd w:val="clear" w:color="auto" w:fill="C0C0C0"/>
            <w:vAlign w:val="center"/>
          </w:tcPr>
          <w:p w:rsidR="00E86DD8" w:rsidRPr="000D0E17" w:rsidRDefault="002A3250" w:rsidP="002F1751">
            <w:pPr>
              <w:jc w:val="center"/>
              <w:rPr>
                <w:rFonts w:cs="Arial"/>
                <w:b/>
                <w:sz w:val="18"/>
                <w:szCs w:val="18"/>
              </w:rPr>
            </w:pPr>
            <w:r>
              <w:rPr>
                <w:rFonts w:cs="Arial"/>
                <w:b/>
                <w:sz w:val="18"/>
                <w:szCs w:val="18"/>
              </w:rPr>
              <w:t>3</w:t>
            </w:r>
          </w:p>
        </w:tc>
      </w:tr>
    </w:tbl>
    <w:p w:rsidR="00E86DD8" w:rsidRPr="000D0E17" w:rsidRDefault="002A3250" w:rsidP="00E86DD8">
      <w:pPr>
        <w:rPr>
          <w:rFonts w:cs="Arial"/>
          <w:sz w:val="16"/>
          <w:szCs w:val="16"/>
        </w:rPr>
      </w:pPr>
      <w:r w:rsidRPr="000D0E17">
        <w:rPr>
          <w:rFonts w:cs="Arial"/>
          <w:sz w:val="16"/>
          <w:szCs w:val="16"/>
        </w:rPr>
        <w:t>Fuente: Plan de Mejoramiento Proceso de Gestión del Talento Humano</w:t>
      </w:r>
    </w:p>
    <w:p w:rsidR="00E86DD8" w:rsidRPr="001F71AE" w:rsidRDefault="002A3250" w:rsidP="00E86DD8">
      <w:pPr>
        <w:jc w:val="both"/>
        <w:rPr>
          <w:rFonts w:cs="Arial"/>
          <w:color w:val="FF0000"/>
        </w:rPr>
      </w:pPr>
    </w:p>
    <w:p w:rsidR="00E86DD8" w:rsidRPr="000D0E17" w:rsidRDefault="002A3250" w:rsidP="00E86DD8">
      <w:pPr>
        <w:jc w:val="both"/>
        <w:rPr>
          <w:rFonts w:cs="Arial"/>
        </w:rPr>
      </w:pPr>
      <w:r w:rsidRPr="000D0E17">
        <w:rPr>
          <w:rFonts w:cs="Arial"/>
        </w:rPr>
        <w:t xml:space="preserve">A continuación se detalla el </w:t>
      </w:r>
      <w:r w:rsidRPr="000D0E17">
        <w:rPr>
          <w:rFonts w:cs="Arial"/>
        </w:rPr>
        <w:t>estado de cada uno de los hallazgos y/o no conformidades incluidos en el Plan de Mejoramiento:</w:t>
      </w:r>
    </w:p>
    <w:p w:rsidR="00E86DD8" w:rsidRDefault="002A3250" w:rsidP="00E86DD8">
      <w:pPr>
        <w:jc w:val="both"/>
        <w:rPr>
          <w:rFonts w:cs="Arial"/>
          <w:color w:val="FF0000"/>
        </w:rPr>
      </w:pPr>
    </w:p>
    <w:p w:rsidR="00E86DD8" w:rsidRDefault="002A3250" w:rsidP="00E86DD8">
      <w:pPr>
        <w:jc w:val="both"/>
        <w:rPr>
          <w:rFonts w:cs="Arial"/>
          <w:color w:val="FF0000"/>
        </w:rPr>
      </w:pPr>
    </w:p>
    <w:p w:rsidR="00E86DD8" w:rsidRPr="001F71AE" w:rsidRDefault="002A3250" w:rsidP="00E86DD8">
      <w:pPr>
        <w:jc w:val="both"/>
        <w:rPr>
          <w:rFonts w:cs="Arial"/>
          <w:color w:val="FF0000"/>
        </w:rPr>
      </w:pPr>
      <w:r w:rsidRPr="001F71AE">
        <w:rPr>
          <w:rFonts w:cs="Arial"/>
          <w:color w:val="FF0000"/>
        </w:rPr>
        <w:lastRenderedPageBreak/>
        <w:t xml:space="preserve">  </w:t>
      </w:r>
    </w:p>
    <w:p w:rsidR="00E86DD8" w:rsidRPr="000D0E17" w:rsidRDefault="002A3250" w:rsidP="00E86DD8">
      <w:pPr>
        <w:numPr>
          <w:ilvl w:val="0"/>
          <w:numId w:val="1"/>
        </w:numPr>
        <w:tabs>
          <w:tab w:val="clear" w:pos="720"/>
          <w:tab w:val="num" w:pos="360"/>
        </w:tabs>
        <w:ind w:left="360"/>
        <w:jc w:val="both"/>
        <w:rPr>
          <w:rFonts w:cs="Arial"/>
          <w:b/>
        </w:rPr>
      </w:pPr>
      <w:r w:rsidRPr="000D0E17">
        <w:rPr>
          <w:rFonts w:cs="Arial"/>
          <w:b/>
        </w:rPr>
        <w:t>ACCIONES CORRECTIVAS</w:t>
      </w:r>
    </w:p>
    <w:p w:rsidR="00E86DD8" w:rsidRPr="001F71AE" w:rsidRDefault="002A3250" w:rsidP="00E86DD8">
      <w:pPr>
        <w:jc w:val="both"/>
        <w:rPr>
          <w:rFonts w:cs="Arial"/>
          <w:b/>
          <w:color w:val="FF0000"/>
        </w:rPr>
      </w:pPr>
    </w:p>
    <w:p w:rsidR="00E86DD8" w:rsidRPr="000D0E17" w:rsidRDefault="002A3250" w:rsidP="00E86DD8">
      <w:pPr>
        <w:jc w:val="both"/>
        <w:rPr>
          <w:rFonts w:cs="Arial"/>
        </w:rPr>
      </w:pPr>
      <w:r w:rsidRPr="000D0E17">
        <w:rPr>
          <w:rFonts w:cs="Arial"/>
        </w:rPr>
        <w:t>Del total de hallazgos incluidos en el Plan de Mejoramiento Anexo1 - Acciones Correctivas y de Mejora</w:t>
      </w:r>
      <w:r>
        <w:rPr>
          <w:rFonts w:cs="Arial"/>
        </w:rPr>
        <w:t>,</w:t>
      </w:r>
      <w:r w:rsidRPr="000D0E17">
        <w:rPr>
          <w:rFonts w:cs="Arial"/>
        </w:rPr>
        <w:t xml:space="preserve"> se encontró que tres (3) de ell</w:t>
      </w:r>
      <w:r w:rsidRPr="000D0E17">
        <w:rPr>
          <w:rFonts w:cs="Arial"/>
        </w:rPr>
        <w:t>os corresponden al Origen 6-Auditoria Fiscal y uno (1) al Origen 3-Auditoria del SIG.</w:t>
      </w:r>
    </w:p>
    <w:p w:rsidR="00E86DD8" w:rsidRPr="001F71AE" w:rsidRDefault="002A3250" w:rsidP="00E86DD8">
      <w:pPr>
        <w:jc w:val="both"/>
        <w:rPr>
          <w:rFonts w:cs="Arial"/>
          <w:color w:val="FF0000"/>
        </w:rPr>
      </w:pPr>
      <w:r w:rsidRPr="001F71AE">
        <w:rPr>
          <w:rFonts w:cs="Arial"/>
          <w:color w:val="FF0000"/>
        </w:rPr>
        <w:t xml:space="preserve"> </w:t>
      </w:r>
    </w:p>
    <w:p w:rsidR="00E86DD8" w:rsidRPr="003F4A66" w:rsidRDefault="002A3250" w:rsidP="00E86DD8">
      <w:pPr>
        <w:tabs>
          <w:tab w:val="left" w:pos="3400"/>
        </w:tabs>
        <w:jc w:val="both"/>
        <w:rPr>
          <w:rFonts w:cs="Arial"/>
          <w:b/>
        </w:rPr>
      </w:pPr>
      <w:r w:rsidRPr="003F4A66">
        <w:rPr>
          <w:rFonts w:cs="Arial"/>
          <w:b/>
        </w:rPr>
        <w:t>1.1 AUDITORIA FISCAL:</w:t>
      </w:r>
      <w:r w:rsidRPr="003F4A66">
        <w:rPr>
          <w:rFonts w:cs="Arial"/>
          <w:b/>
        </w:rPr>
        <w:tab/>
      </w:r>
    </w:p>
    <w:p w:rsidR="00E86DD8" w:rsidRPr="001F71AE" w:rsidRDefault="002A3250" w:rsidP="00E86DD8">
      <w:pPr>
        <w:tabs>
          <w:tab w:val="left" w:pos="3400"/>
        </w:tabs>
        <w:jc w:val="both"/>
        <w:rPr>
          <w:rFonts w:cs="Arial"/>
          <w:b/>
          <w:color w:val="FF0000"/>
        </w:rPr>
      </w:pPr>
    </w:p>
    <w:p w:rsidR="00E86DD8" w:rsidRPr="00540160" w:rsidRDefault="002A3250" w:rsidP="00E86DD8">
      <w:pPr>
        <w:tabs>
          <w:tab w:val="left" w:pos="3400"/>
        </w:tabs>
        <w:jc w:val="both"/>
        <w:rPr>
          <w:rFonts w:cs="Arial"/>
        </w:rPr>
      </w:pPr>
      <w:r w:rsidRPr="00540160">
        <w:rPr>
          <w:rFonts w:cs="Arial"/>
        </w:rPr>
        <w:t>De acuerdo al Informe Final de Auditoria Regular</w:t>
      </w:r>
      <w:r>
        <w:rPr>
          <w:rFonts w:cs="Arial"/>
        </w:rPr>
        <w:t xml:space="preserve"> vigencia 2014 - </w:t>
      </w:r>
      <w:r w:rsidRPr="00540160">
        <w:rPr>
          <w:rFonts w:cs="Arial"/>
        </w:rPr>
        <w:t>PAAF 2015, continúa abierto un hallazgo correspondiente a la vigencia 2013</w:t>
      </w:r>
      <w:r>
        <w:rPr>
          <w:rFonts w:cs="Arial"/>
        </w:rPr>
        <w:t>, que</w:t>
      </w:r>
      <w:r>
        <w:rPr>
          <w:rFonts w:cs="Arial"/>
        </w:rPr>
        <w:t xml:space="preserve"> se encuentra a cargo de la Dirección de Talento Humano;</w:t>
      </w:r>
      <w:r w:rsidRPr="00540160">
        <w:rPr>
          <w:rFonts w:cs="Arial"/>
        </w:rPr>
        <w:t xml:space="preserve"> </w:t>
      </w:r>
      <w:r>
        <w:rPr>
          <w:rFonts w:cs="Arial"/>
        </w:rPr>
        <w:t xml:space="preserve">por esta razón, </w:t>
      </w:r>
      <w:r w:rsidRPr="00540160">
        <w:rPr>
          <w:rFonts w:cs="Arial"/>
        </w:rPr>
        <w:t xml:space="preserve">la Oficina de Control Interno realizó la verificación correspondiente como se muestra a continuación:  </w:t>
      </w:r>
    </w:p>
    <w:p w:rsidR="00E86DD8" w:rsidRDefault="002A3250" w:rsidP="00E86DD8">
      <w:pPr>
        <w:tabs>
          <w:tab w:val="left" w:pos="3400"/>
        </w:tabs>
        <w:jc w:val="both"/>
        <w:rPr>
          <w:rFonts w:cs="Arial"/>
          <w:color w:val="FF0000"/>
        </w:rPr>
      </w:pPr>
    </w:p>
    <w:p w:rsidR="00E86DD8" w:rsidRPr="003F4A66" w:rsidRDefault="002A3250" w:rsidP="00E86DD8">
      <w:pPr>
        <w:tabs>
          <w:tab w:val="left" w:pos="3400"/>
        </w:tabs>
        <w:jc w:val="both"/>
        <w:rPr>
          <w:rFonts w:cs="Arial"/>
          <w:i/>
        </w:rPr>
      </w:pPr>
      <w:r w:rsidRPr="003F4A66">
        <w:rPr>
          <w:rFonts w:cs="Arial"/>
          <w:b/>
          <w:i/>
        </w:rPr>
        <w:t>Hallazgo 2.2.1.3 (1)</w:t>
      </w:r>
      <w:r w:rsidRPr="003F4A66">
        <w:rPr>
          <w:rFonts w:cs="Arial"/>
          <w:i/>
        </w:rPr>
        <w:t>: En la vigencia anterior, se observó que el Acuerdo 519 d</w:t>
      </w:r>
      <w:r w:rsidRPr="003F4A66">
        <w:rPr>
          <w:rFonts w:cs="Arial"/>
          <w:i/>
        </w:rPr>
        <w:t>e 2012, presenta inconsistencias y requiere ser ajustado y en consecuencia los actos administrativos emitidos tales como las resoluciones 075 y 076 de 2013, proferidas por la Dirección de Talento Humano</w:t>
      </w:r>
    </w:p>
    <w:p w:rsidR="00E86DD8" w:rsidRPr="003F4A66" w:rsidRDefault="002A3250" w:rsidP="00E86DD8">
      <w:pPr>
        <w:jc w:val="both"/>
        <w:rPr>
          <w:rFonts w:cs="Arial"/>
          <w:b/>
        </w:rPr>
      </w:pPr>
    </w:p>
    <w:p w:rsidR="00E86DD8" w:rsidRPr="003F4A66" w:rsidRDefault="002A3250" w:rsidP="00E86DD8">
      <w:pPr>
        <w:jc w:val="both"/>
        <w:rPr>
          <w:rFonts w:cs="Arial"/>
          <w:i/>
        </w:rPr>
      </w:pPr>
      <w:r w:rsidRPr="003F4A66">
        <w:rPr>
          <w:rFonts w:cs="Arial"/>
          <w:b/>
          <w:i/>
        </w:rPr>
        <w:t xml:space="preserve">Acción: </w:t>
      </w:r>
      <w:r w:rsidRPr="003F4A66">
        <w:rPr>
          <w:rFonts w:cs="Arial"/>
          <w:i/>
        </w:rPr>
        <w:t xml:space="preserve">Emitir Resolución reglamentaria modificando </w:t>
      </w:r>
      <w:r w:rsidRPr="003F4A66">
        <w:rPr>
          <w:rFonts w:cs="Arial"/>
          <w:i/>
        </w:rPr>
        <w:t>y aclarando las resoluciones Nos. 075 y 076 del 18 de enero de 2013, relacionadas con la distribución de funcionarios de la planta global de la Entidad.</w:t>
      </w:r>
    </w:p>
    <w:p w:rsidR="00E86DD8" w:rsidRPr="003F4A66" w:rsidRDefault="002A3250" w:rsidP="00E86DD8">
      <w:pPr>
        <w:jc w:val="both"/>
        <w:rPr>
          <w:rFonts w:cs="Arial"/>
        </w:rPr>
      </w:pPr>
    </w:p>
    <w:p w:rsidR="00E86DD8" w:rsidRDefault="002A3250" w:rsidP="00E86DD8">
      <w:pPr>
        <w:jc w:val="both"/>
        <w:rPr>
          <w:rFonts w:cs="Arial"/>
        </w:rPr>
      </w:pPr>
      <w:r w:rsidRPr="003F4A66">
        <w:rPr>
          <w:rFonts w:cs="Arial"/>
          <w:b/>
        </w:rPr>
        <w:t>Verificación a septiembre de 2015:</w:t>
      </w:r>
      <w:r w:rsidRPr="003F4A66">
        <w:rPr>
          <w:rFonts w:cs="Arial"/>
        </w:rPr>
        <w:t xml:space="preserve"> Se corroboró la Resolución No. 1838 de junio de 2015 mediante la cu</w:t>
      </w:r>
      <w:r w:rsidRPr="003F4A66">
        <w:rPr>
          <w:rFonts w:cs="Arial"/>
        </w:rPr>
        <w:t xml:space="preserve">al se modifican y aclaran algunos aspectos de las Resoluciones No. 075 y 076 de 2013, relacionadas con la distribución de funcionarios de la planta global de la Entidad. Teniendo en cuenta lo anterior, se está dando cumplimiento a la acción propuesta para </w:t>
      </w:r>
      <w:r w:rsidRPr="003F4A66">
        <w:rPr>
          <w:rFonts w:cs="Arial"/>
        </w:rPr>
        <w:t>subsanar el hallazgo, por lo tanto se solicita el cierre del mismo a la Auditoria Fiscal.</w:t>
      </w:r>
    </w:p>
    <w:p w:rsidR="00E86DD8" w:rsidRDefault="002A3250" w:rsidP="00E86DD8">
      <w:pPr>
        <w:jc w:val="both"/>
        <w:rPr>
          <w:rFonts w:cs="Arial"/>
        </w:rPr>
      </w:pPr>
    </w:p>
    <w:p w:rsidR="00E86DD8" w:rsidRDefault="002A3250" w:rsidP="00E86DD8">
      <w:pPr>
        <w:jc w:val="both"/>
        <w:rPr>
          <w:rFonts w:cs="Arial"/>
          <w:b/>
        </w:rPr>
      </w:pPr>
      <w:r w:rsidRPr="007035D6">
        <w:rPr>
          <w:rFonts w:cs="Arial"/>
          <w:b/>
        </w:rPr>
        <w:t>HALLAZGOS VIGENCIA 2014-PAAF 2015</w:t>
      </w:r>
    </w:p>
    <w:p w:rsidR="00E86DD8" w:rsidRPr="007035D6" w:rsidRDefault="002A3250" w:rsidP="00E86DD8">
      <w:pPr>
        <w:jc w:val="both"/>
        <w:rPr>
          <w:rFonts w:cs="Arial"/>
          <w:b/>
        </w:rPr>
      </w:pPr>
    </w:p>
    <w:p w:rsidR="00E86DD8" w:rsidRPr="00A035C5" w:rsidRDefault="002A3250" w:rsidP="00E86DD8">
      <w:pPr>
        <w:jc w:val="both"/>
        <w:rPr>
          <w:rFonts w:cs="Arial"/>
          <w:b/>
          <w:color w:val="FF0000"/>
        </w:rPr>
      </w:pPr>
      <w:r w:rsidRPr="00A035C5">
        <w:rPr>
          <w:rFonts w:cs="Arial"/>
          <w:b/>
        </w:rPr>
        <w:t>PRONUNCIAMIENTOS</w:t>
      </w:r>
    </w:p>
    <w:p w:rsidR="00E86DD8" w:rsidRDefault="002A3250" w:rsidP="00E86DD8">
      <w:pPr>
        <w:jc w:val="both"/>
        <w:rPr>
          <w:rFonts w:cs="Arial"/>
          <w:color w:val="FF0000"/>
        </w:rPr>
      </w:pPr>
    </w:p>
    <w:p w:rsidR="00E86DD8" w:rsidRPr="00A83D6D" w:rsidRDefault="002A3250" w:rsidP="00E86DD8">
      <w:pPr>
        <w:jc w:val="both"/>
        <w:rPr>
          <w:rFonts w:cs="Arial"/>
          <w:i/>
        </w:rPr>
      </w:pPr>
      <w:r w:rsidRPr="00A83D6D">
        <w:rPr>
          <w:rFonts w:cs="Arial"/>
          <w:b/>
          <w:i/>
        </w:rPr>
        <w:t>Pronunciamiento No. 201420355 del 14 de julio de 2014:</w:t>
      </w:r>
      <w:r w:rsidRPr="00A83D6D">
        <w:rPr>
          <w:rFonts w:cs="Arial"/>
          <w:i/>
        </w:rPr>
        <w:t xml:space="preserve"> “Pronunciamiento cargas laborales y distribución planta d</w:t>
      </w:r>
      <w:r w:rsidRPr="00A83D6D">
        <w:rPr>
          <w:rFonts w:cs="Arial"/>
          <w:i/>
        </w:rPr>
        <w:t>e cargos Acuerdo 519 de 2012 y Resolución 03 de 2013”</w:t>
      </w:r>
      <w:r>
        <w:rPr>
          <w:rFonts w:cs="Arial"/>
          <w:i/>
        </w:rPr>
        <w:t>.</w:t>
      </w:r>
    </w:p>
    <w:p w:rsidR="00E86DD8" w:rsidRPr="00A83D6D" w:rsidRDefault="002A3250" w:rsidP="00E86DD8">
      <w:pPr>
        <w:jc w:val="both"/>
        <w:rPr>
          <w:rFonts w:cs="Arial"/>
          <w:i/>
        </w:rPr>
      </w:pPr>
    </w:p>
    <w:p w:rsidR="00E86DD8" w:rsidRPr="00A83D6D" w:rsidRDefault="002A3250" w:rsidP="00E86DD8">
      <w:pPr>
        <w:jc w:val="both"/>
        <w:rPr>
          <w:rFonts w:cs="Arial"/>
          <w:i/>
        </w:rPr>
      </w:pPr>
      <w:r w:rsidRPr="00A83D6D">
        <w:rPr>
          <w:rFonts w:cs="Arial"/>
          <w:b/>
          <w:i/>
        </w:rPr>
        <w:t xml:space="preserve">Acción: </w:t>
      </w:r>
      <w:r w:rsidRPr="00A83D6D">
        <w:rPr>
          <w:rFonts w:cs="Arial"/>
          <w:i/>
        </w:rPr>
        <w:t xml:space="preserve">Emitir Resolución aclaratoria de distribución de cargas laborales. </w:t>
      </w:r>
    </w:p>
    <w:p w:rsidR="00E86DD8" w:rsidRPr="00A83D6D" w:rsidRDefault="002A3250" w:rsidP="00E86DD8">
      <w:pPr>
        <w:jc w:val="both"/>
        <w:rPr>
          <w:rFonts w:cs="Arial"/>
        </w:rPr>
      </w:pPr>
    </w:p>
    <w:p w:rsidR="00E86DD8" w:rsidRPr="00A83D6D" w:rsidRDefault="002A3250" w:rsidP="00E86DD8">
      <w:pPr>
        <w:jc w:val="both"/>
        <w:rPr>
          <w:rFonts w:cs="Arial"/>
          <w:b/>
        </w:rPr>
      </w:pPr>
      <w:r w:rsidRPr="00A83D6D">
        <w:rPr>
          <w:rFonts w:cs="Arial"/>
          <w:b/>
        </w:rPr>
        <w:t>Verificación a septiembre de 2015:</w:t>
      </w:r>
      <w:r w:rsidRPr="00A83D6D">
        <w:rPr>
          <w:rFonts w:cs="Arial"/>
        </w:rPr>
        <w:t xml:space="preserve"> Se corroboró la Resolución Reglamentaria No. 048 emitida el 3 de agosto de 2015, mediante la cual se modifica parcialmente la RR No. 003 de 2013, por la cual se adoptó la distribución de cargos de la planta de </w:t>
      </w:r>
      <w:r w:rsidRPr="00A83D6D">
        <w:rPr>
          <w:rFonts w:cs="Arial"/>
        </w:rPr>
        <w:lastRenderedPageBreak/>
        <w:t>personal de la Contraloría</w:t>
      </w:r>
      <w:r>
        <w:rPr>
          <w:rFonts w:cs="Arial"/>
        </w:rPr>
        <w:t xml:space="preserve"> de Bogotá D.C. Con</w:t>
      </w:r>
      <w:r>
        <w:rPr>
          <w:rFonts w:cs="Arial"/>
        </w:rPr>
        <w:t xml:space="preserve"> lo anterior</w:t>
      </w:r>
      <w:r w:rsidRPr="00A83D6D">
        <w:rPr>
          <w:rFonts w:cs="Arial"/>
        </w:rPr>
        <w:t xml:space="preserve"> se da cumplimiento a la acción establecida, por lo tanto se sugiere el cierre a la Auditoria Fiscal</w:t>
      </w:r>
      <w:r>
        <w:rPr>
          <w:rFonts w:cs="Arial"/>
        </w:rPr>
        <w:t>.</w:t>
      </w:r>
    </w:p>
    <w:p w:rsidR="00E86DD8" w:rsidRPr="001F71AE" w:rsidRDefault="002A3250" w:rsidP="00E86DD8">
      <w:pPr>
        <w:tabs>
          <w:tab w:val="left" w:pos="3400"/>
        </w:tabs>
        <w:jc w:val="both"/>
        <w:rPr>
          <w:rFonts w:cs="Arial"/>
          <w:b/>
          <w:i/>
          <w:color w:val="FF0000"/>
        </w:rPr>
      </w:pPr>
    </w:p>
    <w:p w:rsidR="00E86DD8" w:rsidRPr="001F71AE" w:rsidRDefault="002A3250" w:rsidP="00E86DD8">
      <w:pPr>
        <w:jc w:val="both"/>
        <w:rPr>
          <w:rFonts w:cs="Arial"/>
          <w:b/>
        </w:rPr>
      </w:pPr>
      <w:r w:rsidRPr="001F71AE">
        <w:rPr>
          <w:rFonts w:cs="Arial"/>
          <w:b/>
        </w:rPr>
        <w:t>1.2 AUDITORIA INTERNA AL SIG</w:t>
      </w:r>
    </w:p>
    <w:p w:rsidR="00E86DD8" w:rsidRPr="001F71AE" w:rsidRDefault="002A3250" w:rsidP="00E86DD8">
      <w:pPr>
        <w:jc w:val="both"/>
        <w:rPr>
          <w:rFonts w:cs="Arial"/>
          <w:b/>
        </w:rPr>
      </w:pPr>
    </w:p>
    <w:p w:rsidR="00E86DD8" w:rsidRPr="001F71AE" w:rsidRDefault="002A3250" w:rsidP="00E86DD8">
      <w:pPr>
        <w:jc w:val="both"/>
        <w:rPr>
          <w:rFonts w:cs="Arial"/>
        </w:rPr>
      </w:pPr>
      <w:r w:rsidRPr="001F71AE">
        <w:rPr>
          <w:rFonts w:cs="Arial"/>
        </w:rPr>
        <w:t>En cuanto a la auditoria efectuada al Sistema Integrado de Gestión, aún permanece abierto un (1) hallazgo con a</w:t>
      </w:r>
      <w:r w:rsidRPr="001F71AE">
        <w:rPr>
          <w:rFonts w:cs="Arial"/>
        </w:rPr>
        <w:t>cción correctiva, cuyo avance de ejecución se muestra a continuación:</w:t>
      </w:r>
    </w:p>
    <w:p w:rsidR="00E86DD8" w:rsidRPr="001F71AE" w:rsidRDefault="002A3250" w:rsidP="00E86DD8">
      <w:pPr>
        <w:jc w:val="both"/>
        <w:rPr>
          <w:rFonts w:cs="Arial"/>
          <w:sz w:val="22"/>
        </w:rPr>
      </w:pPr>
    </w:p>
    <w:p w:rsidR="00E86DD8" w:rsidRPr="001F71AE" w:rsidRDefault="002A3250" w:rsidP="00E86DD8">
      <w:pPr>
        <w:numPr>
          <w:ilvl w:val="0"/>
          <w:numId w:val="2"/>
        </w:numPr>
        <w:ind w:left="0"/>
        <w:jc w:val="both"/>
        <w:rPr>
          <w:rFonts w:cs="Arial"/>
          <w:i/>
          <w:sz w:val="22"/>
        </w:rPr>
      </w:pPr>
      <w:r w:rsidRPr="001F71AE">
        <w:rPr>
          <w:rFonts w:cs="Arial"/>
          <w:b/>
          <w:i/>
          <w:sz w:val="22"/>
        </w:rPr>
        <w:t>Hallazgo 16:</w:t>
      </w:r>
      <w:r w:rsidRPr="001F71AE">
        <w:rPr>
          <w:rFonts w:cs="Arial"/>
          <w:i/>
          <w:sz w:val="22"/>
        </w:rPr>
        <w:t xml:space="preserve"> La Subdirección de Carrera Administrativa creada con el Acuerdo 519 de 2012 no tiene tabla de retención documental para el manejo de los documentos de la dependencia, como lo señala el Procedimiento Diseño e implementación de tablas de retención documenta</w:t>
      </w:r>
      <w:r w:rsidRPr="001F71AE">
        <w:rPr>
          <w:rFonts w:cs="Arial"/>
          <w:i/>
          <w:sz w:val="22"/>
        </w:rPr>
        <w:t>l. Incumpliendo la R.R. No. 053 de 2013 y el numeral 4.2.4 de la NTCGP 1000:2009 Y NTC ISO 9001:2008.</w:t>
      </w:r>
    </w:p>
    <w:p w:rsidR="00E86DD8" w:rsidRPr="001F71AE" w:rsidRDefault="002A3250" w:rsidP="00E86DD8">
      <w:pPr>
        <w:jc w:val="both"/>
        <w:rPr>
          <w:rFonts w:cs="Arial"/>
          <w:i/>
        </w:rPr>
      </w:pPr>
    </w:p>
    <w:p w:rsidR="00E86DD8" w:rsidRPr="001F71AE" w:rsidRDefault="002A3250" w:rsidP="00E86DD8">
      <w:pPr>
        <w:jc w:val="both"/>
        <w:rPr>
          <w:rFonts w:cs="Arial"/>
          <w:i/>
        </w:rPr>
      </w:pPr>
      <w:r w:rsidRPr="001F71AE">
        <w:rPr>
          <w:rFonts w:cs="Arial"/>
          <w:b/>
          <w:i/>
        </w:rPr>
        <w:t xml:space="preserve">Acción: </w:t>
      </w:r>
      <w:r w:rsidRPr="001F71AE">
        <w:rPr>
          <w:rFonts w:cs="Arial"/>
          <w:i/>
        </w:rPr>
        <w:t>Solicitar la inclusión de la dependencia de Carrera Administrativa en la tabla de retención documental de la entidad, al proceso de gestión docum</w:t>
      </w:r>
      <w:r w:rsidRPr="001F71AE">
        <w:rPr>
          <w:rFonts w:cs="Arial"/>
          <w:i/>
        </w:rPr>
        <w:t>ental</w:t>
      </w:r>
    </w:p>
    <w:p w:rsidR="00E86DD8" w:rsidRPr="001F71AE" w:rsidRDefault="002A3250" w:rsidP="00E86DD8">
      <w:pPr>
        <w:jc w:val="both"/>
        <w:rPr>
          <w:rFonts w:cs="Arial"/>
          <w:color w:val="FF0000"/>
        </w:rPr>
      </w:pPr>
    </w:p>
    <w:p w:rsidR="00E86DD8" w:rsidRPr="001F71AE" w:rsidRDefault="002A3250" w:rsidP="00E86DD8">
      <w:pPr>
        <w:jc w:val="both"/>
        <w:rPr>
          <w:rFonts w:cs="Arial"/>
          <w:b/>
        </w:rPr>
      </w:pPr>
      <w:r w:rsidRPr="001F71AE">
        <w:rPr>
          <w:rFonts w:cs="Arial"/>
          <w:b/>
        </w:rPr>
        <w:t xml:space="preserve">Verificación a septiembre de 2015: </w:t>
      </w:r>
      <w:r w:rsidRPr="001F71AE">
        <w:rPr>
          <w:rFonts w:cs="Arial"/>
        </w:rPr>
        <w:t>El Consejo Distrital de Archivos no se ha pronunciado respecto a los documentos enviados en mayo del presente año. Teniendo en cuenta que no se ha recibido respuesta respecto al tema de las TRD, el hallazgo continú</w:t>
      </w:r>
      <w:r w:rsidRPr="001F71AE">
        <w:rPr>
          <w:rFonts w:cs="Arial"/>
        </w:rPr>
        <w:t xml:space="preserve">a abierto.  </w:t>
      </w:r>
    </w:p>
    <w:p w:rsidR="00E86DD8" w:rsidRDefault="002A3250" w:rsidP="00E86DD8">
      <w:pPr>
        <w:jc w:val="both"/>
        <w:rPr>
          <w:rFonts w:cs="Arial"/>
          <w:color w:val="FF0000"/>
        </w:rPr>
      </w:pPr>
    </w:p>
    <w:p w:rsidR="00E86DD8" w:rsidRPr="001F71AE" w:rsidRDefault="002A3250" w:rsidP="00E86DD8">
      <w:pPr>
        <w:jc w:val="both"/>
        <w:rPr>
          <w:rFonts w:cs="Arial"/>
          <w:color w:val="FF0000"/>
        </w:rPr>
      </w:pPr>
    </w:p>
    <w:p w:rsidR="00E86DD8" w:rsidRPr="000D0E17" w:rsidRDefault="002A3250" w:rsidP="00E86DD8">
      <w:pPr>
        <w:jc w:val="both"/>
        <w:rPr>
          <w:rFonts w:cs="Arial"/>
          <w:b/>
        </w:rPr>
      </w:pPr>
      <w:r w:rsidRPr="000D0E17">
        <w:rPr>
          <w:rFonts w:cs="Arial"/>
          <w:b/>
        </w:rPr>
        <w:t xml:space="preserve">2. ACCIONES PREVENTIVAS </w:t>
      </w:r>
    </w:p>
    <w:p w:rsidR="00E86DD8" w:rsidRPr="001F71AE" w:rsidRDefault="002A3250" w:rsidP="00E86DD8">
      <w:pPr>
        <w:jc w:val="both"/>
        <w:rPr>
          <w:rFonts w:cs="Arial"/>
          <w:b/>
          <w:color w:val="FF0000"/>
        </w:rPr>
      </w:pPr>
    </w:p>
    <w:p w:rsidR="00E86DD8" w:rsidRPr="00E86DD8" w:rsidRDefault="002A3250" w:rsidP="00E86DD8">
      <w:pPr>
        <w:jc w:val="both"/>
        <w:rPr>
          <w:rFonts w:cs="Arial"/>
        </w:rPr>
      </w:pPr>
      <w:r w:rsidRPr="00385357">
        <w:rPr>
          <w:rFonts w:cs="Arial"/>
        </w:rPr>
        <w:t xml:space="preserve">Respecto a este tipo de acciones, el proceso cuenta con 4 riesgos clasificados en los orígenes 1.1-Riesgo Antijurídico y 1.6-Otros Riesgos, </w:t>
      </w:r>
      <w:r>
        <w:rPr>
          <w:rFonts w:cs="Arial"/>
        </w:rPr>
        <w:t>como se muestra a continuación:</w:t>
      </w:r>
    </w:p>
    <w:p w:rsidR="00E86DD8" w:rsidRDefault="002A3250" w:rsidP="00E86DD8">
      <w:pPr>
        <w:jc w:val="center"/>
        <w:rPr>
          <w:rFonts w:cs="Arial"/>
          <w:b/>
          <w:sz w:val="22"/>
          <w:szCs w:val="22"/>
        </w:rPr>
      </w:pPr>
      <w:r>
        <w:rPr>
          <w:rFonts w:cs="Arial"/>
          <w:b/>
          <w:sz w:val="22"/>
          <w:szCs w:val="22"/>
        </w:rPr>
        <w:t>Tabla 2</w:t>
      </w:r>
    </w:p>
    <w:p w:rsidR="00E86DD8" w:rsidRPr="000D0E17" w:rsidRDefault="002A3250" w:rsidP="00E86DD8">
      <w:pPr>
        <w:jc w:val="center"/>
        <w:rPr>
          <w:rFonts w:cs="Arial"/>
          <w:b/>
          <w:sz w:val="22"/>
          <w:szCs w:val="22"/>
        </w:rPr>
      </w:pPr>
    </w:p>
    <w:p w:rsidR="00E86DD8" w:rsidRPr="000D0E17" w:rsidRDefault="002A3250" w:rsidP="00E86DD8">
      <w:pPr>
        <w:jc w:val="center"/>
        <w:rPr>
          <w:rFonts w:cs="Arial"/>
          <w:b/>
          <w:sz w:val="22"/>
          <w:szCs w:val="22"/>
        </w:rPr>
      </w:pPr>
      <w:r w:rsidRPr="000D0E17">
        <w:rPr>
          <w:rFonts w:cs="Arial"/>
          <w:b/>
          <w:sz w:val="22"/>
          <w:szCs w:val="22"/>
        </w:rPr>
        <w:t xml:space="preserve">“Plan de </w:t>
      </w:r>
      <w:r>
        <w:rPr>
          <w:rFonts w:cs="Arial"/>
          <w:b/>
          <w:sz w:val="22"/>
          <w:szCs w:val="22"/>
        </w:rPr>
        <w:t xml:space="preserve">Evaluación y Seguimiento </w:t>
      </w:r>
      <w:r>
        <w:rPr>
          <w:rFonts w:cs="Arial"/>
          <w:b/>
          <w:sz w:val="22"/>
          <w:szCs w:val="22"/>
        </w:rPr>
        <w:t>de Riesgos</w:t>
      </w:r>
      <w:r w:rsidRPr="000D0E17">
        <w:rPr>
          <w:rFonts w:cs="Arial"/>
          <w:b/>
          <w:sz w:val="22"/>
          <w:szCs w:val="22"/>
        </w:rPr>
        <w:t>”</w:t>
      </w:r>
    </w:p>
    <w:p w:rsidR="00E86DD8" w:rsidRDefault="002A3250" w:rsidP="00E86DD8">
      <w:pPr>
        <w:jc w:val="both"/>
        <w:rPr>
          <w:rFonts w:cs="Arial"/>
          <w:color w:val="FF000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341"/>
        <w:gridCol w:w="1460"/>
        <w:gridCol w:w="1448"/>
        <w:gridCol w:w="1209"/>
        <w:gridCol w:w="1646"/>
      </w:tblGrid>
      <w:tr w:rsidR="00C55D34" w:rsidTr="002F1751">
        <w:trPr>
          <w:trHeight w:val="1070"/>
          <w:jc w:val="center"/>
        </w:trPr>
        <w:tc>
          <w:tcPr>
            <w:tcW w:w="1916"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ORIGEN</w:t>
            </w:r>
          </w:p>
        </w:tc>
        <w:tc>
          <w:tcPr>
            <w:tcW w:w="1341"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ABIERTAS (A)</w:t>
            </w:r>
          </w:p>
        </w:tc>
        <w:tc>
          <w:tcPr>
            <w:tcW w:w="1460"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CERRADAS (C)</w:t>
            </w:r>
          </w:p>
        </w:tc>
        <w:tc>
          <w:tcPr>
            <w:tcW w:w="1448"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MITIGADAS (M)</w:t>
            </w:r>
          </w:p>
        </w:tc>
        <w:tc>
          <w:tcPr>
            <w:tcW w:w="1209"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SE SUGIERE EL CIERRE (A*)</w:t>
            </w:r>
          </w:p>
        </w:tc>
        <w:tc>
          <w:tcPr>
            <w:tcW w:w="1642"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TOTAL A+C+M</w:t>
            </w:r>
          </w:p>
        </w:tc>
      </w:tr>
      <w:tr w:rsidR="00C55D34" w:rsidTr="002F1751">
        <w:trPr>
          <w:trHeight w:val="201"/>
          <w:jc w:val="center"/>
        </w:trPr>
        <w:tc>
          <w:tcPr>
            <w:tcW w:w="1916"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1.1-Antijurídico</w:t>
            </w:r>
          </w:p>
        </w:tc>
        <w:tc>
          <w:tcPr>
            <w:tcW w:w="1341"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2</w:t>
            </w:r>
          </w:p>
        </w:tc>
        <w:tc>
          <w:tcPr>
            <w:tcW w:w="1460"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0</w:t>
            </w:r>
          </w:p>
        </w:tc>
        <w:tc>
          <w:tcPr>
            <w:tcW w:w="1448"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0</w:t>
            </w:r>
          </w:p>
        </w:tc>
        <w:tc>
          <w:tcPr>
            <w:tcW w:w="1209"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0</w:t>
            </w:r>
          </w:p>
        </w:tc>
        <w:tc>
          <w:tcPr>
            <w:tcW w:w="1642"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2</w:t>
            </w:r>
          </w:p>
        </w:tc>
      </w:tr>
      <w:tr w:rsidR="00C55D34" w:rsidTr="002F1751">
        <w:trPr>
          <w:trHeight w:val="217"/>
          <w:jc w:val="center"/>
        </w:trPr>
        <w:tc>
          <w:tcPr>
            <w:tcW w:w="1916"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1.6-Otros Riesgos</w:t>
            </w:r>
          </w:p>
        </w:tc>
        <w:tc>
          <w:tcPr>
            <w:tcW w:w="1341"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2</w:t>
            </w:r>
          </w:p>
        </w:tc>
        <w:tc>
          <w:tcPr>
            <w:tcW w:w="1460"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0</w:t>
            </w:r>
          </w:p>
        </w:tc>
        <w:tc>
          <w:tcPr>
            <w:tcW w:w="1448"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0</w:t>
            </w:r>
          </w:p>
        </w:tc>
        <w:tc>
          <w:tcPr>
            <w:tcW w:w="1209"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0</w:t>
            </w:r>
          </w:p>
        </w:tc>
        <w:tc>
          <w:tcPr>
            <w:tcW w:w="1642"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2</w:t>
            </w:r>
          </w:p>
        </w:tc>
      </w:tr>
      <w:tr w:rsidR="00C55D34" w:rsidTr="002F1751">
        <w:trPr>
          <w:trHeight w:val="192"/>
          <w:jc w:val="center"/>
        </w:trPr>
        <w:tc>
          <w:tcPr>
            <w:tcW w:w="1916"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TOTAL PARCIAL</w:t>
            </w:r>
          </w:p>
        </w:tc>
        <w:tc>
          <w:tcPr>
            <w:tcW w:w="1341"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4</w:t>
            </w:r>
          </w:p>
        </w:tc>
        <w:tc>
          <w:tcPr>
            <w:tcW w:w="1460"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0</w:t>
            </w:r>
          </w:p>
        </w:tc>
        <w:tc>
          <w:tcPr>
            <w:tcW w:w="1448"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0</w:t>
            </w:r>
          </w:p>
        </w:tc>
        <w:tc>
          <w:tcPr>
            <w:tcW w:w="1209"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0</w:t>
            </w:r>
          </w:p>
        </w:tc>
        <w:tc>
          <w:tcPr>
            <w:tcW w:w="1642"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4</w:t>
            </w:r>
          </w:p>
        </w:tc>
      </w:tr>
      <w:tr w:rsidR="00C55D34" w:rsidTr="002F1751">
        <w:trPr>
          <w:trHeight w:val="310"/>
          <w:jc w:val="center"/>
        </w:trPr>
        <w:tc>
          <w:tcPr>
            <w:tcW w:w="9020" w:type="dxa"/>
            <w:gridSpan w:val="6"/>
            <w:tcBorders>
              <w:bottom w:val="single" w:sz="4" w:space="0" w:color="auto"/>
            </w:tcBorders>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 xml:space="preserve">HALLAZGOS INGRESADOS EN EL TRIMESTRE EN ANALISIS ( TERCER TRIMESTRE DE </w:t>
            </w:r>
            <w:r w:rsidRPr="00385357">
              <w:rPr>
                <w:rFonts w:cs="Arial"/>
                <w:b/>
                <w:sz w:val="18"/>
                <w:szCs w:val="18"/>
              </w:rPr>
              <w:t>2015)</w:t>
            </w:r>
          </w:p>
        </w:tc>
      </w:tr>
      <w:tr w:rsidR="00C55D34" w:rsidTr="002F1751">
        <w:trPr>
          <w:trHeight w:val="201"/>
          <w:jc w:val="center"/>
        </w:trPr>
        <w:tc>
          <w:tcPr>
            <w:tcW w:w="1916"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w:t>
            </w:r>
          </w:p>
        </w:tc>
        <w:tc>
          <w:tcPr>
            <w:tcW w:w="1341"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w:t>
            </w:r>
          </w:p>
        </w:tc>
        <w:tc>
          <w:tcPr>
            <w:tcW w:w="1460"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w:t>
            </w:r>
          </w:p>
        </w:tc>
        <w:tc>
          <w:tcPr>
            <w:tcW w:w="1448"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w:t>
            </w:r>
          </w:p>
        </w:tc>
        <w:tc>
          <w:tcPr>
            <w:tcW w:w="1209"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w:t>
            </w:r>
          </w:p>
        </w:tc>
        <w:tc>
          <w:tcPr>
            <w:tcW w:w="1642" w:type="dxa"/>
            <w:shd w:val="clear" w:color="auto" w:fill="auto"/>
            <w:vAlign w:val="center"/>
          </w:tcPr>
          <w:p w:rsidR="00E86DD8" w:rsidRPr="00385357" w:rsidRDefault="002A3250" w:rsidP="002F1751">
            <w:pPr>
              <w:jc w:val="center"/>
              <w:rPr>
                <w:rFonts w:cs="Arial"/>
                <w:sz w:val="18"/>
                <w:szCs w:val="18"/>
              </w:rPr>
            </w:pPr>
            <w:r w:rsidRPr="00385357">
              <w:rPr>
                <w:rFonts w:cs="Arial"/>
                <w:sz w:val="18"/>
                <w:szCs w:val="18"/>
              </w:rPr>
              <w:t>-</w:t>
            </w:r>
          </w:p>
        </w:tc>
      </w:tr>
      <w:tr w:rsidR="00C55D34" w:rsidTr="002F1751">
        <w:trPr>
          <w:trHeight w:val="217"/>
          <w:jc w:val="center"/>
        </w:trPr>
        <w:tc>
          <w:tcPr>
            <w:tcW w:w="1916" w:type="dxa"/>
            <w:tcBorders>
              <w:bottom w:val="single" w:sz="4" w:space="0" w:color="auto"/>
            </w:tcBorders>
            <w:shd w:val="clear" w:color="auto" w:fill="C0C0C0"/>
          </w:tcPr>
          <w:p w:rsidR="00E86DD8" w:rsidRPr="00385357" w:rsidRDefault="002A3250" w:rsidP="002F1751">
            <w:pPr>
              <w:jc w:val="center"/>
              <w:rPr>
                <w:rFonts w:cs="Arial"/>
                <w:b/>
                <w:sz w:val="18"/>
                <w:szCs w:val="18"/>
              </w:rPr>
            </w:pPr>
            <w:r w:rsidRPr="00385357">
              <w:rPr>
                <w:rFonts w:cs="Arial"/>
                <w:b/>
                <w:sz w:val="18"/>
                <w:szCs w:val="18"/>
              </w:rPr>
              <w:t>TOTAL PARCIAL</w:t>
            </w:r>
          </w:p>
        </w:tc>
        <w:tc>
          <w:tcPr>
            <w:tcW w:w="1341" w:type="dxa"/>
            <w:tcBorders>
              <w:bottom w:val="single" w:sz="4" w:space="0" w:color="auto"/>
            </w:tcBorders>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w:t>
            </w:r>
          </w:p>
        </w:tc>
        <w:tc>
          <w:tcPr>
            <w:tcW w:w="1460" w:type="dxa"/>
            <w:tcBorders>
              <w:bottom w:val="single" w:sz="4" w:space="0" w:color="auto"/>
            </w:tcBorders>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w:t>
            </w:r>
          </w:p>
        </w:tc>
        <w:tc>
          <w:tcPr>
            <w:tcW w:w="1448" w:type="dxa"/>
            <w:tcBorders>
              <w:bottom w:val="single" w:sz="4" w:space="0" w:color="auto"/>
            </w:tcBorders>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w:t>
            </w:r>
          </w:p>
        </w:tc>
        <w:tc>
          <w:tcPr>
            <w:tcW w:w="1209" w:type="dxa"/>
            <w:tcBorders>
              <w:bottom w:val="single" w:sz="4" w:space="0" w:color="auto"/>
            </w:tcBorders>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w:t>
            </w:r>
          </w:p>
        </w:tc>
        <w:tc>
          <w:tcPr>
            <w:tcW w:w="1642" w:type="dxa"/>
            <w:tcBorders>
              <w:bottom w:val="single" w:sz="4" w:space="0" w:color="auto"/>
            </w:tcBorders>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w:t>
            </w:r>
          </w:p>
        </w:tc>
      </w:tr>
      <w:tr w:rsidR="00C55D34" w:rsidTr="002F1751">
        <w:trPr>
          <w:trHeight w:val="217"/>
          <w:jc w:val="center"/>
        </w:trPr>
        <w:tc>
          <w:tcPr>
            <w:tcW w:w="1916" w:type="dxa"/>
            <w:shd w:val="clear" w:color="auto" w:fill="C0C0C0"/>
          </w:tcPr>
          <w:p w:rsidR="00E86DD8" w:rsidRPr="00385357" w:rsidRDefault="002A3250" w:rsidP="002F1751">
            <w:pPr>
              <w:jc w:val="center"/>
              <w:rPr>
                <w:rFonts w:cs="Arial"/>
                <w:b/>
                <w:sz w:val="18"/>
                <w:szCs w:val="18"/>
              </w:rPr>
            </w:pPr>
            <w:r w:rsidRPr="00385357">
              <w:rPr>
                <w:rFonts w:cs="Arial"/>
                <w:b/>
                <w:sz w:val="18"/>
                <w:szCs w:val="18"/>
              </w:rPr>
              <w:t>TOTAL GENERAL</w:t>
            </w:r>
          </w:p>
        </w:tc>
        <w:tc>
          <w:tcPr>
            <w:tcW w:w="1341"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4</w:t>
            </w:r>
          </w:p>
        </w:tc>
        <w:tc>
          <w:tcPr>
            <w:tcW w:w="1460"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0</w:t>
            </w:r>
          </w:p>
        </w:tc>
        <w:tc>
          <w:tcPr>
            <w:tcW w:w="1448"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0</w:t>
            </w:r>
          </w:p>
        </w:tc>
        <w:tc>
          <w:tcPr>
            <w:tcW w:w="1209"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0</w:t>
            </w:r>
          </w:p>
        </w:tc>
        <w:tc>
          <w:tcPr>
            <w:tcW w:w="1642" w:type="dxa"/>
            <w:shd w:val="clear" w:color="auto" w:fill="C0C0C0"/>
            <w:vAlign w:val="center"/>
          </w:tcPr>
          <w:p w:rsidR="00E86DD8" w:rsidRPr="00385357" w:rsidRDefault="002A3250" w:rsidP="002F1751">
            <w:pPr>
              <w:jc w:val="center"/>
              <w:rPr>
                <w:rFonts w:cs="Arial"/>
                <w:b/>
                <w:sz w:val="18"/>
                <w:szCs w:val="18"/>
              </w:rPr>
            </w:pPr>
            <w:r w:rsidRPr="00385357">
              <w:rPr>
                <w:rFonts w:cs="Arial"/>
                <w:b/>
                <w:sz w:val="18"/>
                <w:szCs w:val="18"/>
              </w:rPr>
              <w:t>4</w:t>
            </w:r>
          </w:p>
        </w:tc>
      </w:tr>
    </w:tbl>
    <w:p w:rsidR="00E86DD8" w:rsidRPr="00385357" w:rsidRDefault="002A3250" w:rsidP="00E86DD8">
      <w:pPr>
        <w:rPr>
          <w:rFonts w:cs="Arial"/>
          <w:sz w:val="16"/>
          <w:szCs w:val="16"/>
        </w:rPr>
      </w:pPr>
      <w:r w:rsidRPr="00385357">
        <w:rPr>
          <w:rFonts w:cs="Arial"/>
          <w:sz w:val="16"/>
          <w:szCs w:val="16"/>
        </w:rPr>
        <w:t>Fuente: Plan de Evaluación y Seguimiento de Riesgos Proceso de Gestión del Talento Humano</w:t>
      </w:r>
    </w:p>
    <w:p w:rsidR="00E86DD8" w:rsidRPr="001F71AE" w:rsidRDefault="002A3250" w:rsidP="00E86DD8">
      <w:pPr>
        <w:jc w:val="both"/>
        <w:rPr>
          <w:rFonts w:cs="Arial"/>
          <w:color w:val="FF0000"/>
        </w:rPr>
      </w:pPr>
    </w:p>
    <w:p w:rsidR="00E86DD8" w:rsidRPr="00385357" w:rsidRDefault="002A3250" w:rsidP="00E86DD8">
      <w:pPr>
        <w:jc w:val="both"/>
        <w:rPr>
          <w:rFonts w:cs="Arial"/>
          <w:b/>
        </w:rPr>
      </w:pPr>
      <w:r w:rsidRPr="00385357">
        <w:rPr>
          <w:rFonts w:cs="Arial"/>
          <w:b/>
        </w:rPr>
        <w:t>2.1 Riesgo Antijurídico</w:t>
      </w:r>
    </w:p>
    <w:p w:rsidR="00E86DD8" w:rsidRPr="00385357" w:rsidRDefault="002A3250" w:rsidP="00E86DD8">
      <w:pPr>
        <w:jc w:val="both"/>
        <w:rPr>
          <w:rFonts w:cs="Arial"/>
          <w:b/>
        </w:rPr>
      </w:pPr>
    </w:p>
    <w:p w:rsidR="00E86DD8" w:rsidRPr="00385357" w:rsidRDefault="002A3250" w:rsidP="00E86DD8">
      <w:pPr>
        <w:numPr>
          <w:ilvl w:val="0"/>
          <w:numId w:val="3"/>
        </w:numPr>
        <w:ind w:left="0"/>
        <w:jc w:val="both"/>
        <w:rPr>
          <w:rFonts w:cs="Arial"/>
          <w:b/>
          <w:i/>
        </w:rPr>
      </w:pPr>
      <w:r w:rsidRPr="00385357">
        <w:rPr>
          <w:rFonts w:cs="Arial"/>
          <w:b/>
          <w:i/>
        </w:rPr>
        <w:t>Inconsistencia en la liquidación de Sentencias Judiciales</w:t>
      </w:r>
    </w:p>
    <w:p w:rsidR="00E86DD8" w:rsidRPr="00385357" w:rsidRDefault="002A3250" w:rsidP="00E86DD8">
      <w:pPr>
        <w:jc w:val="both"/>
        <w:rPr>
          <w:rFonts w:cs="Arial"/>
          <w:b/>
        </w:rPr>
      </w:pPr>
    </w:p>
    <w:p w:rsidR="00E86DD8" w:rsidRPr="00385357" w:rsidRDefault="002A3250" w:rsidP="00E86DD8">
      <w:pPr>
        <w:jc w:val="both"/>
        <w:rPr>
          <w:rFonts w:cs="Arial"/>
          <w:b/>
          <w:i/>
        </w:rPr>
      </w:pPr>
      <w:r w:rsidRPr="00385357">
        <w:rPr>
          <w:rFonts w:cs="Arial"/>
          <w:b/>
          <w:i/>
        </w:rPr>
        <w:t xml:space="preserve">Acción: </w:t>
      </w:r>
      <w:r w:rsidRPr="00385357">
        <w:rPr>
          <w:rFonts w:cs="Arial"/>
          <w:i/>
        </w:rPr>
        <w:t>Verificar que la liquidación de las sentencia se ajuste a lo ordenado en la misma, en la normatividad y la jurisprudencia sobre la materia y con arreglo al procedimiento sobre la materia</w:t>
      </w:r>
    </w:p>
    <w:p w:rsidR="00E86DD8" w:rsidRPr="001F71AE" w:rsidRDefault="002A3250" w:rsidP="00E86DD8">
      <w:pPr>
        <w:jc w:val="both"/>
        <w:rPr>
          <w:rFonts w:cs="Arial"/>
          <w:b/>
          <w:color w:val="FF0000"/>
        </w:rPr>
      </w:pPr>
    </w:p>
    <w:p w:rsidR="00E86DD8" w:rsidRPr="00385357" w:rsidRDefault="002A3250" w:rsidP="00E86DD8">
      <w:pPr>
        <w:jc w:val="both"/>
        <w:rPr>
          <w:rFonts w:cs="Arial"/>
          <w:b/>
        </w:rPr>
      </w:pPr>
      <w:r w:rsidRPr="00385357">
        <w:rPr>
          <w:rFonts w:cs="Arial"/>
          <w:b/>
        </w:rPr>
        <w:t xml:space="preserve">Verificación a septiembre de 2015: </w:t>
      </w:r>
      <w:r w:rsidRPr="00385357">
        <w:rPr>
          <w:rFonts w:cs="Arial"/>
        </w:rPr>
        <w:t>En el tercer trimestre de 2015 no</w:t>
      </w:r>
      <w:r w:rsidRPr="00385357">
        <w:rPr>
          <w:rFonts w:cs="Arial"/>
        </w:rPr>
        <w:t xml:space="preserve"> fueron recibidas nuevas sentencias para liquidación. Se verificó la </w:t>
      </w:r>
      <w:r>
        <w:rPr>
          <w:rFonts w:cs="Arial"/>
        </w:rPr>
        <w:t>R</w:t>
      </w:r>
      <w:r w:rsidRPr="00385357">
        <w:rPr>
          <w:rFonts w:cs="Arial"/>
        </w:rPr>
        <w:t>esolución 2141 de julio 17 de 2015 por la cual se da cumplimiento a la orden judicial de pago que se venía tramitando desde el trimestre anterior. El riesgo continúa abierto para seguimi</w:t>
      </w:r>
      <w:r w:rsidRPr="00385357">
        <w:rPr>
          <w:rFonts w:cs="Arial"/>
        </w:rPr>
        <w:t>ento durante la vigencia.</w:t>
      </w:r>
      <w:r w:rsidRPr="00385357">
        <w:rPr>
          <w:rFonts w:cs="Arial"/>
          <w:b/>
        </w:rPr>
        <w:t xml:space="preserve"> </w:t>
      </w:r>
    </w:p>
    <w:p w:rsidR="00E86DD8" w:rsidRPr="001F71AE" w:rsidRDefault="002A3250" w:rsidP="00E86DD8">
      <w:pPr>
        <w:jc w:val="both"/>
        <w:rPr>
          <w:rFonts w:cs="Arial"/>
          <w:b/>
          <w:color w:val="FF0000"/>
        </w:rPr>
      </w:pPr>
      <w:r w:rsidRPr="00385357">
        <w:rPr>
          <w:rFonts w:cs="Arial"/>
          <w:b/>
          <w:color w:val="FF0000"/>
        </w:rPr>
        <w:t xml:space="preserve">  </w:t>
      </w:r>
    </w:p>
    <w:p w:rsidR="00E86DD8" w:rsidRPr="00113AFF" w:rsidRDefault="002A3250" w:rsidP="00E86DD8">
      <w:pPr>
        <w:numPr>
          <w:ilvl w:val="0"/>
          <w:numId w:val="3"/>
        </w:numPr>
        <w:ind w:left="0"/>
        <w:jc w:val="both"/>
        <w:rPr>
          <w:rFonts w:cs="Arial"/>
          <w:b/>
          <w:i/>
        </w:rPr>
      </w:pPr>
      <w:r w:rsidRPr="00113AFF">
        <w:rPr>
          <w:rFonts w:cs="Arial"/>
          <w:b/>
          <w:i/>
        </w:rPr>
        <w:t>Que los Procesos disciplinarios se desarrollen sin respetar el debido proceso y/o de conformidad con el marco normativo de la Ley 734 2002 y con desarrollo jurisdiccional de las altas Cortes.</w:t>
      </w:r>
    </w:p>
    <w:p w:rsidR="00E86DD8" w:rsidRPr="00113AFF" w:rsidRDefault="002A3250" w:rsidP="00E86DD8">
      <w:pPr>
        <w:ind w:left="720"/>
        <w:jc w:val="both"/>
        <w:rPr>
          <w:rFonts w:cs="Arial"/>
          <w:i/>
        </w:rPr>
      </w:pPr>
    </w:p>
    <w:p w:rsidR="00E86DD8" w:rsidRPr="00113AFF" w:rsidRDefault="002A3250" w:rsidP="00E86DD8">
      <w:pPr>
        <w:jc w:val="both"/>
        <w:rPr>
          <w:rFonts w:cs="Arial"/>
          <w:i/>
        </w:rPr>
      </w:pPr>
      <w:r w:rsidRPr="00113AFF">
        <w:rPr>
          <w:rFonts w:cs="Arial"/>
          <w:b/>
          <w:i/>
        </w:rPr>
        <w:t>Acción:</w:t>
      </w:r>
      <w:r w:rsidRPr="00113AFF">
        <w:rPr>
          <w:rFonts w:cs="Arial"/>
          <w:i/>
        </w:rPr>
        <w:t xml:space="preserve"> Realizar revisiones bimensuales a los procesos disciplinarios, a fin de verificar términos y aplicación de la normatividad vigente, incluyendo pronunciamientos jurisdiccionales.</w:t>
      </w:r>
    </w:p>
    <w:p w:rsidR="00E86DD8" w:rsidRPr="00113AFF" w:rsidRDefault="002A3250" w:rsidP="00E86DD8">
      <w:pPr>
        <w:jc w:val="both"/>
        <w:rPr>
          <w:rFonts w:cs="Arial"/>
          <w:i/>
        </w:rPr>
      </w:pPr>
    </w:p>
    <w:p w:rsidR="00E86DD8" w:rsidRPr="00113AFF" w:rsidRDefault="002A3250" w:rsidP="00E86DD8">
      <w:pPr>
        <w:jc w:val="both"/>
        <w:rPr>
          <w:rFonts w:cs="Arial"/>
        </w:rPr>
      </w:pPr>
      <w:r w:rsidRPr="00113AFF">
        <w:rPr>
          <w:rFonts w:cs="Arial"/>
          <w:b/>
        </w:rPr>
        <w:t xml:space="preserve">Verificación a septiembre de 2015: </w:t>
      </w:r>
      <w:r w:rsidRPr="00113AFF">
        <w:rPr>
          <w:rFonts w:cs="Arial"/>
        </w:rPr>
        <w:t xml:space="preserve">Se verificó el acta No. 04 de septiembre </w:t>
      </w:r>
      <w:r w:rsidRPr="00113AFF">
        <w:rPr>
          <w:rFonts w:cs="Arial"/>
        </w:rPr>
        <w:t>07 de 2015, en la cual la Oficina de Asuntos Disciplinarios realizó la revisión del estado de los procesos en trámite, encontrándose 92 procesos activos en el periodo comprendido entre el 01 de julio y el 31 de agosto. El riesgo continúa abierto para segui</w:t>
      </w:r>
      <w:r w:rsidRPr="00113AFF">
        <w:rPr>
          <w:rFonts w:cs="Arial"/>
        </w:rPr>
        <w:t>miento durante la vigencia.</w:t>
      </w:r>
    </w:p>
    <w:p w:rsidR="00E86DD8" w:rsidRPr="00113AFF" w:rsidRDefault="002A3250" w:rsidP="00E86DD8">
      <w:pPr>
        <w:jc w:val="both"/>
        <w:rPr>
          <w:rFonts w:cs="Arial"/>
        </w:rPr>
      </w:pPr>
    </w:p>
    <w:p w:rsidR="00E86DD8" w:rsidRPr="00113AFF" w:rsidRDefault="002A3250" w:rsidP="00E86DD8">
      <w:pPr>
        <w:jc w:val="both"/>
        <w:rPr>
          <w:rFonts w:cs="Arial"/>
          <w:b/>
        </w:rPr>
      </w:pPr>
      <w:r w:rsidRPr="00113AFF">
        <w:rPr>
          <w:rFonts w:cs="Arial"/>
          <w:b/>
        </w:rPr>
        <w:t>2.2 Otros riesgos</w:t>
      </w:r>
    </w:p>
    <w:p w:rsidR="00E86DD8" w:rsidRPr="00113AFF" w:rsidRDefault="002A3250" w:rsidP="00E86DD8">
      <w:pPr>
        <w:ind w:left="720"/>
        <w:jc w:val="both"/>
        <w:rPr>
          <w:rFonts w:cs="Arial"/>
          <w:i/>
        </w:rPr>
      </w:pPr>
    </w:p>
    <w:p w:rsidR="00E86DD8" w:rsidRPr="005F34BC" w:rsidRDefault="002A3250" w:rsidP="00E86DD8">
      <w:pPr>
        <w:numPr>
          <w:ilvl w:val="0"/>
          <w:numId w:val="3"/>
        </w:numPr>
        <w:ind w:left="0"/>
        <w:jc w:val="both"/>
        <w:rPr>
          <w:rFonts w:cs="Arial"/>
          <w:b/>
          <w:i/>
        </w:rPr>
      </w:pPr>
      <w:r w:rsidRPr="005F34BC">
        <w:rPr>
          <w:rFonts w:cs="Arial"/>
          <w:b/>
          <w:i/>
        </w:rPr>
        <w:t>Alto número de contratación a cargo de la Subdirección de Bienestar Social</w:t>
      </w:r>
    </w:p>
    <w:p w:rsidR="00E86DD8" w:rsidRDefault="002A3250" w:rsidP="00E86DD8">
      <w:pPr>
        <w:jc w:val="both"/>
        <w:rPr>
          <w:rFonts w:cs="Arial"/>
          <w:i/>
        </w:rPr>
      </w:pPr>
    </w:p>
    <w:p w:rsidR="00E86DD8" w:rsidRPr="005F34BC" w:rsidRDefault="002A3250" w:rsidP="00E86DD8">
      <w:pPr>
        <w:jc w:val="both"/>
        <w:rPr>
          <w:rFonts w:cs="Arial"/>
          <w:b/>
          <w:i/>
        </w:rPr>
      </w:pPr>
      <w:r w:rsidRPr="002F02BF">
        <w:rPr>
          <w:rFonts w:cs="Arial"/>
        </w:rPr>
        <w:t>En atención a que el riesgo estaba defin</w:t>
      </w:r>
      <w:r>
        <w:rPr>
          <w:rFonts w:cs="Arial"/>
        </w:rPr>
        <w:t>id</w:t>
      </w:r>
      <w:r w:rsidRPr="002F02BF">
        <w:rPr>
          <w:rFonts w:cs="Arial"/>
        </w:rPr>
        <w:t>o como</w:t>
      </w:r>
      <w:r>
        <w:rPr>
          <w:rFonts w:cs="Arial"/>
          <w:i/>
        </w:rPr>
        <w:t xml:space="preserve"> “</w:t>
      </w:r>
      <w:r w:rsidRPr="00B87FE4">
        <w:rPr>
          <w:rFonts w:cs="Arial"/>
          <w:i/>
        </w:rPr>
        <w:t xml:space="preserve">Contratación que no cumpla con los términos de la normatividad vigente sobre la </w:t>
      </w:r>
      <w:r w:rsidRPr="00B87FE4">
        <w:rPr>
          <w:rFonts w:cs="Arial"/>
          <w:i/>
        </w:rPr>
        <w:t>materia</w:t>
      </w:r>
      <w:r w:rsidRPr="00B87FE4">
        <w:rPr>
          <w:rFonts w:cs="Arial"/>
        </w:rPr>
        <w:t>”</w:t>
      </w:r>
      <w:r>
        <w:rPr>
          <w:rFonts w:cs="Arial"/>
        </w:rPr>
        <w:t>, en cambio del riesgo que inicialmente se había definido por el Proceso, la Oficina de Control Interno ajustó el formato, colocándolo como se encuentra establecido en el mapa institucional de riesgos, es decir: “</w:t>
      </w:r>
      <w:r w:rsidRPr="005F34BC">
        <w:rPr>
          <w:rFonts w:cs="Arial"/>
          <w:b/>
          <w:i/>
        </w:rPr>
        <w:t>Alto número de contratación a cargo</w:t>
      </w:r>
      <w:r w:rsidRPr="005F34BC">
        <w:rPr>
          <w:rFonts w:cs="Arial"/>
          <w:b/>
          <w:i/>
        </w:rPr>
        <w:t xml:space="preserve"> de la Subdirección de Bienestar Social</w:t>
      </w:r>
      <w:r>
        <w:rPr>
          <w:rFonts w:cs="Arial"/>
          <w:b/>
          <w:i/>
        </w:rPr>
        <w:t>”.</w:t>
      </w:r>
    </w:p>
    <w:p w:rsidR="00E86DD8" w:rsidRDefault="002A3250" w:rsidP="00E86DD8">
      <w:pPr>
        <w:jc w:val="both"/>
        <w:rPr>
          <w:rFonts w:cs="Arial"/>
        </w:rPr>
      </w:pPr>
      <w:r>
        <w:rPr>
          <w:rFonts w:cs="Arial"/>
        </w:rPr>
        <w:t xml:space="preserve"> </w:t>
      </w:r>
    </w:p>
    <w:p w:rsidR="00E86DD8" w:rsidRPr="005F34BC" w:rsidRDefault="002A3250" w:rsidP="00E86DD8">
      <w:pPr>
        <w:jc w:val="both"/>
        <w:rPr>
          <w:rFonts w:cs="Arial"/>
          <w:i/>
        </w:rPr>
      </w:pPr>
      <w:r w:rsidRPr="005F34BC">
        <w:rPr>
          <w:rFonts w:cs="Arial"/>
          <w:b/>
          <w:i/>
        </w:rPr>
        <w:t>Acción:</w:t>
      </w:r>
      <w:r w:rsidRPr="005F34BC">
        <w:rPr>
          <w:rFonts w:cs="Arial"/>
          <w:i/>
        </w:rPr>
        <w:t xml:space="preserve"> Agrupar los contratos por áreas de acuerdo a la necesidad y temáticas</w:t>
      </w:r>
    </w:p>
    <w:p w:rsidR="00E86DD8" w:rsidRPr="005F34BC" w:rsidRDefault="002A3250" w:rsidP="00E86DD8">
      <w:pPr>
        <w:jc w:val="both"/>
        <w:rPr>
          <w:rFonts w:cs="Arial"/>
          <w:i/>
        </w:rPr>
      </w:pPr>
    </w:p>
    <w:p w:rsidR="00E86DD8" w:rsidRPr="005F34BC" w:rsidRDefault="002A3250" w:rsidP="00E86DD8">
      <w:pPr>
        <w:jc w:val="both"/>
        <w:rPr>
          <w:rFonts w:cs="Arial"/>
        </w:rPr>
      </w:pPr>
      <w:r w:rsidRPr="005F34BC">
        <w:rPr>
          <w:rFonts w:cs="Arial"/>
          <w:b/>
        </w:rPr>
        <w:lastRenderedPageBreak/>
        <w:t xml:space="preserve">Verificación a septiembre de 2015: </w:t>
      </w:r>
      <w:r w:rsidRPr="005F34BC">
        <w:rPr>
          <w:rFonts w:cs="Arial"/>
        </w:rPr>
        <w:t xml:space="preserve">Se corroboró memorando con radicación No. 3-2015-16770 de agosto 19 de 2015 por medio del cual la </w:t>
      </w:r>
      <w:r w:rsidRPr="005F34BC">
        <w:rPr>
          <w:rFonts w:cs="Arial"/>
        </w:rPr>
        <w:t>Subdirección de Bienestar Social remite a la Dirección Administrativa y Financiera, el Anexo 3 para la contratación de la compra de bonos de navidad y bonos para estímulos e incentivos 2015. Así mismo, se verificó el contrato 047 de 2015 celebrado el 06 de</w:t>
      </w:r>
      <w:r w:rsidRPr="005F34BC">
        <w:rPr>
          <w:rFonts w:cs="Arial"/>
        </w:rPr>
        <w:t xml:space="preserve"> mayo de 2015</w:t>
      </w:r>
      <w:r>
        <w:rPr>
          <w:rFonts w:cs="Arial"/>
        </w:rPr>
        <w:t>,</w:t>
      </w:r>
      <w:r w:rsidRPr="005F34BC">
        <w:rPr>
          <w:rFonts w:cs="Arial"/>
        </w:rPr>
        <w:t xml:space="preserve"> con el fin de "Contratar la prestación de servicios para la ejecución de actividades campestres recreativas con ocasión a la celebración del día del niño, vacaciones recreativas en junio y diciembre y Halloween".  El riesgo continúa abierto </w:t>
      </w:r>
      <w:r w:rsidRPr="005F34BC">
        <w:rPr>
          <w:rFonts w:cs="Arial"/>
        </w:rPr>
        <w:t xml:space="preserve">para seguimiento durante la vigencia.   </w:t>
      </w:r>
    </w:p>
    <w:p w:rsidR="00E86DD8" w:rsidRPr="001F71AE" w:rsidRDefault="002A3250" w:rsidP="00E86DD8">
      <w:pPr>
        <w:jc w:val="both"/>
        <w:rPr>
          <w:rFonts w:cs="Arial"/>
          <w:i/>
          <w:color w:val="FF0000"/>
        </w:rPr>
      </w:pPr>
    </w:p>
    <w:p w:rsidR="00E86DD8" w:rsidRPr="00113AFF" w:rsidRDefault="002A3250" w:rsidP="00E86DD8">
      <w:pPr>
        <w:numPr>
          <w:ilvl w:val="0"/>
          <w:numId w:val="3"/>
        </w:numPr>
        <w:ind w:left="0"/>
        <w:jc w:val="both"/>
        <w:rPr>
          <w:rFonts w:cs="Arial"/>
          <w:b/>
          <w:i/>
        </w:rPr>
      </w:pPr>
      <w:r w:rsidRPr="00113AFF">
        <w:rPr>
          <w:rFonts w:cs="Arial"/>
          <w:b/>
          <w:i/>
        </w:rPr>
        <w:t>Que se crucen actividades misionales, con procesos de capacitación, lo que conlleve a malestar de los participantes o al ausentismos en las capacitaciones</w:t>
      </w:r>
      <w:r>
        <w:rPr>
          <w:rFonts w:cs="Arial"/>
          <w:b/>
          <w:i/>
        </w:rPr>
        <w:t>.</w:t>
      </w:r>
    </w:p>
    <w:p w:rsidR="00E86DD8" w:rsidRPr="00113AFF" w:rsidRDefault="002A3250" w:rsidP="00E86DD8">
      <w:pPr>
        <w:ind w:left="720"/>
        <w:jc w:val="both"/>
        <w:rPr>
          <w:rFonts w:cs="Arial"/>
          <w:i/>
        </w:rPr>
      </w:pPr>
    </w:p>
    <w:p w:rsidR="00E86DD8" w:rsidRPr="00113AFF" w:rsidRDefault="002A3250" w:rsidP="00E86DD8">
      <w:pPr>
        <w:jc w:val="both"/>
        <w:rPr>
          <w:rFonts w:cs="Arial"/>
          <w:i/>
        </w:rPr>
      </w:pPr>
      <w:r w:rsidRPr="00113AFF">
        <w:rPr>
          <w:rFonts w:cs="Arial"/>
          <w:b/>
          <w:i/>
        </w:rPr>
        <w:t>Acción:</w:t>
      </w:r>
      <w:r w:rsidRPr="00113AFF">
        <w:rPr>
          <w:rFonts w:cs="Arial"/>
          <w:i/>
        </w:rPr>
        <w:t xml:space="preserve"> Concertar en coordinación con el Responsable del </w:t>
      </w:r>
      <w:r w:rsidRPr="00113AFF">
        <w:rPr>
          <w:rFonts w:cs="Arial"/>
          <w:i/>
        </w:rPr>
        <w:t>Proceso Misional de vigilancia y control, un cronograma conjunto que minimice el traumatismo en el cruce de las actividades laborales y de capacitación</w:t>
      </w:r>
      <w:r>
        <w:rPr>
          <w:rFonts w:cs="Arial"/>
          <w:i/>
        </w:rPr>
        <w:t>.</w:t>
      </w:r>
    </w:p>
    <w:p w:rsidR="00E86DD8" w:rsidRPr="001F71AE" w:rsidRDefault="002A3250" w:rsidP="00E86DD8">
      <w:pPr>
        <w:jc w:val="both"/>
        <w:rPr>
          <w:rFonts w:cs="Arial"/>
          <w:i/>
          <w:color w:val="FF0000"/>
        </w:rPr>
      </w:pPr>
    </w:p>
    <w:p w:rsidR="00E86DD8" w:rsidRPr="00623502" w:rsidRDefault="002A3250" w:rsidP="00E86DD8">
      <w:pPr>
        <w:jc w:val="both"/>
        <w:rPr>
          <w:rFonts w:cs="Arial"/>
          <w:i/>
        </w:rPr>
      </w:pPr>
      <w:r w:rsidRPr="00623502">
        <w:rPr>
          <w:rFonts w:cs="Arial"/>
          <w:b/>
        </w:rPr>
        <w:t>Verificación a septiembre de 2015:</w:t>
      </w:r>
      <w:r w:rsidRPr="00623502">
        <w:rPr>
          <w:rFonts w:cs="Arial"/>
          <w:b/>
          <w:color w:val="FF0000"/>
        </w:rPr>
        <w:t xml:space="preserve"> </w:t>
      </w:r>
      <w:r w:rsidRPr="00623502">
        <w:rPr>
          <w:rFonts w:cs="Arial"/>
        </w:rPr>
        <w:t>Se verificó memorando No. 3-2015-16640 de agosto 14 de 2015 mediante el cual se da a conocer la convocatoria de los funcionarios docentes al programa de inducción institucional y curso de introducción al control fiscal, dirigido a los servidores públicos r</w:t>
      </w:r>
      <w:r w:rsidRPr="00623502">
        <w:rPr>
          <w:rFonts w:cs="Arial"/>
        </w:rPr>
        <w:t xml:space="preserve">ecientemente incorporados a la planta de la Entidad, como resultado del concurso de méritos realizado por la CNSC. Así mismo, se corroboró el cronograma de ejecución de las actividades contratadas con la Universidad del Rosario para el segundo semestre de </w:t>
      </w:r>
      <w:r w:rsidRPr="00623502">
        <w:rPr>
          <w:rFonts w:cs="Arial"/>
        </w:rPr>
        <w:t xml:space="preserve">2015. El riesgo continúa abierto para seguimiento durante la vigencia.  </w:t>
      </w:r>
    </w:p>
    <w:p w:rsidR="00E86DD8" w:rsidRDefault="002A3250" w:rsidP="00E86DD8">
      <w:pPr>
        <w:jc w:val="both"/>
        <w:rPr>
          <w:rFonts w:cs="Arial"/>
          <w:b/>
          <w:color w:val="FF0000"/>
        </w:rPr>
      </w:pPr>
    </w:p>
    <w:p w:rsidR="00E86DD8" w:rsidRDefault="002A3250" w:rsidP="00E86DD8">
      <w:pPr>
        <w:numPr>
          <w:ilvl w:val="0"/>
          <w:numId w:val="4"/>
        </w:numPr>
        <w:ind w:left="284" w:hanging="284"/>
        <w:jc w:val="both"/>
        <w:rPr>
          <w:rFonts w:cs="Arial"/>
          <w:b/>
        </w:rPr>
      </w:pPr>
      <w:r w:rsidRPr="000E2029">
        <w:rPr>
          <w:rFonts w:cs="Arial"/>
          <w:b/>
        </w:rPr>
        <w:t>ACCIONES DE MEJORA</w:t>
      </w:r>
    </w:p>
    <w:p w:rsidR="00E86DD8" w:rsidRDefault="002A3250" w:rsidP="00E86DD8">
      <w:pPr>
        <w:jc w:val="both"/>
        <w:rPr>
          <w:rFonts w:cs="Arial"/>
          <w:b/>
        </w:rPr>
      </w:pPr>
    </w:p>
    <w:p w:rsidR="00E86DD8" w:rsidRPr="000E2029" w:rsidRDefault="002A3250" w:rsidP="00E86DD8">
      <w:pPr>
        <w:jc w:val="both"/>
        <w:rPr>
          <w:rFonts w:cs="Arial"/>
        </w:rPr>
      </w:pPr>
      <w:r>
        <w:rPr>
          <w:rFonts w:cs="Arial"/>
        </w:rPr>
        <w:t>En el Informe de Gestión del proceso de Talento Humano realizado con corte a junio de 2015, fueron establecidas varias acciones de mejora; sin embargo, las mismas</w:t>
      </w:r>
      <w:r>
        <w:rPr>
          <w:rFonts w:cs="Arial"/>
        </w:rPr>
        <w:t xml:space="preserve"> no fueron incluidas en el Plan de Mejoramiento del proceso, teniendo en cuenta que se realizó una reunión de equipo de gestores el 23 de julio de 2015, en la cual las diferentes subdirecciones que hacen parte del proceso exponían las razones para que dich</w:t>
      </w:r>
      <w:r>
        <w:rPr>
          <w:rFonts w:cs="Arial"/>
        </w:rPr>
        <w:t>as acciones no fueran tenidas en cuenta. Para lo anterior se aporta el acta No. 03 correspondiente a la reunión en mención.</w:t>
      </w:r>
    </w:p>
    <w:p w:rsidR="00E86DD8" w:rsidRDefault="002A3250" w:rsidP="00E86DD8">
      <w:pPr>
        <w:jc w:val="both"/>
        <w:rPr>
          <w:rFonts w:cs="Arial"/>
          <w:b/>
          <w:color w:val="FF0000"/>
        </w:rPr>
      </w:pPr>
    </w:p>
    <w:p w:rsidR="00E86DD8" w:rsidRPr="009A11FA" w:rsidRDefault="002A3250" w:rsidP="00E86DD8">
      <w:pPr>
        <w:jc w:val="both"/>
        <w:rPr>
          <w:rFonts w:cs="Arial"/>
        </w:rPr>
      </w:pPr>
      <w:r w:rsidRPr="009A11FA">
        <w:rPr>
          <w:rFonts w:cs="Arial"/>
        </w:rPr>
        <w:t>En cuanto a las oportunidades de mejora dejadas al proceso de Gestión de Talento Humano por la Auditoria Externa, se socializaron l</w:t>
      </w:r>
      <w:r w:rsidRPr="009A11FA">
        <w:rPr>
          <w:rFonts w:cs="Arial"/>
        </w:rPr>
        <w:t>as mismas en reunión de equipo de gestores, acta No. 2 de mayo 27 de 2015, en la cual se estableci</w:t>
      </w:r>
      <w:r>
        <w:rPr>
          <w:rFonts w:cs="Arial"/>
        </w:rPr>
        <w:t>ó que en el momento ya</w:t>
      </w:r>
      <w:r w:rsidRPr="009A11FA">
        <w:rPr>
          <w:rFonts w:cs="Arial"/>
        </w:rPr>
        <w:t xml:space="preserve"> se estaban llevando a cab</w:t>
      </w:r>
      <w:r>
        <w:rPr>
          <w:rFonts w:cs="Arial"/>
        </w:rPr>
        <w:t xml:space="preserve">o las acciones correspondientes. Por lo anterior, dichas oportunidades de mejora </w:t>
      </w:r>
      <w:r w:rsidRPr="009A11FA">
        <w:rPr>
          <w:rFonts w:cs="Arial"/>
        </w:rPr>
        <w:t>no fueron incluidas en el P</w:t>
      </w:r>
      <w:r>
        <w:rPr>
          <w:rFonts w:cs="Arial"/>
        </w:rPr>
        <w:t>la</w:t>
      </w:r>
      <w:r>
        <w:rPr>
          <w:rFonts w:cs="Arial"/>
        </w:rPr>
        <w:t xml:space="preserve">n de </w:t>
      </w:r>
      <w:r w:rsidRPr="009A11FA">
        <w:rPr>
          <w:rFonts w:cs="Arial"/>
        </w:rPr>
        <w:t>M</w:t>
      </w:r>
      <w:r>
        <w:rPr>
          <w:rFonts w:cs="Arial"/>
        </w:rPr>
        <w:t>ejoramiento del proceso.</w:t>
      </w:r>
    </w:p>
    <w:p w:rsidR="00E86DD8" w:rsidRPr="001F71AE" w:rsidRDefault="002A3250" w:rsidP="00E86DD8">
      <w:pPr>
        <w:jc w:val="both"/>
        <w:rPr>
          <w:rFonts w:cs="Arial"/>
          <w:b/>
          <w:color w:val="FF0000"/>
        </w:rPr>
      </w:pPr>
      <w:r w:rsidRPr="002D4615">
        <w:rPr>
          <w:rFonts w:cs="Arial"/>
          <w:color w:val="FF0000"/>
        </w:rPr>
        <w:lastRenderedPageBreak/>
        <w:t xml:space="preserve"> </w:t>
      </w:r>
    </w:p>
    <w:p w:rsidR="00E86DD8" w:rsidRPr="00B87FE4" w:rsidRDefault="002A3250" w:rsidP="00E86DD8">
      <w:pPr>
        <w:jc w:val="both"/>
        <w:rPr>
          <w:rFonts w:cs="Arial"/>
          <w:b/>
        </w:rPr>
      </w:pPr>
      <w:r>
        <w:rPr>
          <w:rFonts w:cs="Arial"/>
          <w:b/>
        </w:rPr>
        <w:t>RECOMENDACIONES</w:t>
      </w:r>
    </w:p>
    <w:p w:rsidR="00E86DD8" w:rsidRPr="001F71AE" w:rsidRDefault="002A3250" w:rsidP="00E86DD8">
      <w:pPr>
        <w:rPr>
          <w:rFonts w:cs="Arial"/>
          <w:color w:val="FF0000"/>
        </w:rPr>
      </w:pPr>
      <w:r w:rsidRPr="001F71AE">
        <w:rPr>
          <w:rFonts w:cs="Arial"/>
          <w:color w:val="FF0000"/>
        </w:rPr>
        <w:t xml:space="preserve"> </w:t>
      </w:r>
    </w:p>
    <w:p w:rsidR="00E86DD8" w:rsidRPr="00C971AD" w:rsidRDefault="002A3250" w:rsidP="00E86DD8">
      <w:pPr>
        <w:jc w:val="both"/>
        <w:rPr>
          <w:rFonts w:cs="Arial"/>
          <w:sz w:val="22"/>
          <w:lang w:val="es-ES_tradnl"/>
        </w:rPr>
      </w:pPr>
      <w:r w:rsidRPr="00FE1880">
        <w:rPr>
          <w:rFonts w:cs="Arial"/>
        </w:rPr>
        <w:t xml:space="preserve">Dar cumplimiento al Procedimiento Plan de Mejoramiento - Acciones Correctivas y de Mejora, respecto a fechas y acciones. En el evento en que se tenga la necesidad de modificar plazos, acciones u otros </w:t>
      </w:r>
      <w:r>
        <w:rPr>
          <w:rFonts w:cs="Arial"/>
        </w:rPr>
        <w:t>aspe</w:t>
      </w:r>
      <w:r>
        <w:rPr>
          <w:rFonts w:cs="Arial"/>
        </w:rPr>
        <w:t>ctos, efectuar la solicitud</w:t>
      </w:r>
      <w:r w:rsidRPr="00FE1880">
        <w:rPr>
          <w:rFonts w:cs="Arial"/>
        </w:rPr>
        <w:t xml:space="preserve"> de conformidad con lo establecido tanto en las Resoluciones Reglamentarias  021 de 2015 de la Contraloría de Bogotá y  003 de 2012 de la Auditoria Fiscal</w:t>
      </w:r>
      <w:r w:rsidRPr="00C971AD">
        <w:rPr>
          <w:rFonts w:cs="Arial"/>
          <w:sz w:val="22"/>
          <w:lang w:val="es-ES_tradnl"/>
        </w:rPr>
        <w:t>.</w:t>
      </w:r>
    </w:p>
    <w:p w:rsidR="00E86DD8" w:rsidRDefault="002A3250" w:rsidP="00E86DD8">
      <w:pPr>
        <w:jc w:val="both"/>
        <w:rPr>
          <w:rFonts w:cs="Arial"/>
          <w:color w:val="FF0000"/>
        </w:rPr>
      </w:pPr>
    </w:p>
    <w:p w:rsidR="00E86DD8" w:rsidRDefault="002A3250" w:rsidP="00E86DD8">
      <w:pPr>
        <w:jc w:val="both"/>
        <w:rPr>
          <w:rFonts w:cs="Arial"/>
          <w:color w:val="FF0000"/>
        </w:rPr>
      </w:pPr>
    </w:p>
    <w:p w:rsidR="00E86DD8" w:rsidRDefault="002A3250" w:rsidP="00E86DD8">
      <w:pPr>
        <w:jc w:val="both"/>
        <w:rPr>
          <w:rFonts w:cs="Arial"/>
          <w:color w:val="FF0000"/>
        </w:rPr>
      </w:pPr>
    </w:p>
    <w:p w:rsidR="00E86DD8" w:rsidRDefault="002A3250" w:rsidP="006836EB">
      <w:pPr>
        <w:outlineLvl w:val="0"/>
        <w:rPr>
          <w:rFonts w:cs="Arial"/>
          <w:szCs w:val="24"/>
        </w:rPr>
      </w:pPr>
    </w:p>
    <w:p w:rsidR="0080302C" w:rsidRDefault="002A3250" w:rsidP="006836EB">
      <w:pPr>
        <w:outlineLvl w:val="0"/>
        <w:rPr>
          <w:rFonts w:cs="Arial"/>
          <w:szCs w:val="24"/>
        </w:rPr>
      </w:pPr>
      <w:r>
        <w:rPr>
          <w:rFonts w:cs="Arial"/>
          <w:szCs w:val="24"/>
        </w:rPr>
        <w:t xml:space="preserve"> Cordialmente,</w:t>
      </w:r>
    </w:p>
    <w:p w:rsidR="00E07534" w:rsidRDefault="002A3250" w:rsidP="006836EB">
      <w:pPr>
        <w:outlineLvl w:val="0"/>
        <w:rPr>
          <w:rFonts w:cs="Arial"/>
          <w:szCs w:val="24"/>
        </w:rPr>
      </w:pPr>
    </w:p>
    <w:p w:rsidR="00EC36C7" w:rsidRDefault="002A3250"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C55D34" w:rsidTr="00EC36C7">
        <w:trPr>
          <w:trHeight w:val="988"/>
        </w:trPr>
        <w:tc>
          <w:tcPr>
            <w:tcW w:w="4673" w:type="dxa"/>
          </w:tcPr>
          <w:p w:rsidR="007A6B81" w:rsidRDefault="002A3250" w:rsidP="007A6B81">
            <w:pPr>
              <w:outlineLvl w:val="0"/>
              <w:rPr>
                <w:rFonts w:cs="Arial"/>
                <w:szCs w:val="24"/>
              </w:rPr>
            </w:pPr>
            <w:r>
              <w:rPr>
                <w:rFonts w:cs="Arial"/>
                <w:szCs w:val="24"/>
              </w:rPr>
              <w:lastRenderedPageBreak/>
              <w:t xml:space="preserve"> </w:t>
            </w:r>
          </w:p>
        </w:tc>
        <w:tc>
          <w:tcPr>
            <w:tcW w:w="4253" w:type="dxa"/>
          </w:tcPr>
          <w:p w:rsidR="007A6B81" w:rsidRDefault="000D7A7C"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C55D34" w:rsidTr="00EC36C7">
        <w:trPr>
          <w:trHeight w:val="286"/>
        </w:trPr>
        <w:tc>
          <w:tcPr>
            <w:tcW w:w="4673" w:type="dxa"/>
          </w:tcPr>
          <w:p w:rsidR="007A6B81" w:rsidRDefault="002A3250" w:rsidP="007A6B81">
            <w:pPr>
              <w:outlineLvl w:val="0"/>
              <w:rPr>
                <w:rFonts w:cs="Arial"/>
                <w:szCs w:val="24"/>
              </w:rPr>
            </w:pPr>
          </w:p>
        </w:tc>
        <w:tc>
          <w:tcPr>
            <w:tcW w:w="4253" w:type="dxa"/>
          </w:tcPr>
          <w:p w:rsidR="007A6B81" w:rsidRDefault="002A3250"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2A3250"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E86DD8" w:rsidRPr="00B87FE4" w:rsidRDefault="002A3250" w:rsidP="00E86DD8">
      <w:pPr>
        <w:ind w:left="4956"/>
        <w:rPr>
          <w:rFonts w:cs="Arial"/>
          <w:b/>
        </w:rPr>
      </w:pPr>
    </w:p>
    <w:p w:rsidR="00E86DD8" w:rsidRDefault="002A3250" w:rsidP="00E86DD8">
      <w:pPr>
        <w:jc w:val="both"/>
        <w:rPr>
          <w:rFonts w:cs="Arial"/>
          <w:sz w:val="18"/>
        </w:rPr>
      </w:pPr>
    </w:p>
    <w:p w:rsidR="00E86DD8" w:rsidRDefault="002A3250" w:rsidP="00E86DD8">
      <w:pPr>
        <w:jc w:val="both"/>
        <w:rPr>
          <w:rFonts w:cs="Arial"/>
          <w:sz w:val="18"/>
        </w:rPr>
      </w:pPr>
    </w:p>
    <w:p w:rsidR="00E86DD8" w:rsidRPr="00B87FE4" w:rsidRDefault="002A3250" w:rsidP="00E86DD8">
      <w:pPr>
        <w:jc w:val="both"/>
        <w:rPr>
          <w:rFonts w:cs="Arial"/>
          <w:sz w:val="18"/>
          <w:u w:val="single"/>
        </w:rPr>
      </w:pPr>
      <w:r w:rsidRPr="00B87FE4">
        <w:rPr>
          <w:rFonts w:cs="Arial"/>
          <w:sz w:val="18"/>
        </w:rPr>
        <w:t xml:space="preserve">Anexo:      SI </w:t>
      </w:r>
      <w:r w:rsidRPr="00B87FE4">
        <w:rPr>
          <w:rFonts w:cs="Arial"/>
          <w:sz w:val="18"/>
          <w:u w:val="single"/>
        </w:rPr>
        <w:t>_x</w:t>
      </w:r>
      <w:r w:rsidRPr="00B87FE4">
        <w:rPr>
          <w:rFonts w:cs="Arial"/>
          <w:sz w:val="18"/>
        </w:rPr>
        <w:t xml:space="preserve">_   </w:t>
      </w:r>
      <w:r w:rsidRPr="00B87FE4">
        <w:rPr>
          <w:rFonts w:cs="Arial"/>
          <w:sz w:val="18"/>
        </w:rPr>
        <w:tab/>
        <w:t>NO __</w:t>
      </w:r>
      <w:r w:rsidRPr="00B87FE4">
        <w:rPr>
          <w:rFonts w:cs="Arial"/>
          <w:sz w:val="18"/>
        </w:rPr>
        <w:tab/>
      </w:r>
      <w:r w:rsidRPr="00B87FE4">
        <w:rPr>
          <w:rFonts w:cs="Arial"/>
          <w:sz w:val="18"/>
        </w:rPr>
        <w:tab/>
      </w:r>
      <w:r w:rsidRPr="00B87FE4">
        <w:rPr>
          <w:rFonts w:cs="Arial"/>
          <w:sz w:val="18"/>
        </w:rPr>
        <w:tab/>
        <w:t xml:space="preserve">Número de folios </w:t>
      </w:r>
      <w:r w:rsidRPr="00B87FE4">
        <w:rPr>
          <w:rFonts w:cs="Arial"/>
          <w:sz w:val="18"/>
          <w:u w:val="single"/>
        </w:rPr>
        <w:t>_5_</w:t>
      </w:r>
    </w:p>
    <w:p w:rsidR="00E86DD8" w:rsidRDefault="002A3250" w:rsidP="00E86DD8">
      <w:pPr>
        <w:jc w:val="both"/>
        <w:rPr>
          <w:rFonts w:cs="Arial"/>
          <w:sz w:val="18"/>
        </w:rPr>
      </w:pPr>
    </w:p>
    <w:p w:rsidR="00E86DD8" w:rsidRDefault="002A3250" w:rsidP="00E86DD8">
      <w:r w:rsidRPr="00B87FE4">
        <w:rPr>
          <w:rFonts w:cs="Arial"/>
          <w:sz w:val="18"/>
        </w:rPr>
        <w:t xml:space="preserve">Proyectó y Elaboró: </w:t>
      </w:r>
      <w:r>
        <w:rPr>
          <w:rFonts w:cs="Arial"/>
          <w:sz w:val="18"/>
        </w:rPr>
        <w:t>Flor Angélica Espinosa</w:t>
      </w:r>
    </w:p>
    <w:p w:rsidR="00E86DD8" w:rsidRDefault="002A3250" w:rsidP="00E86DD8"/>
    <w:p w:rsidR="00815CDD" w:rsidRPr="00301D93" w:rsidRDefault="002A3250" w:rsidP="00E86DD8">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50" w:rsidRDefault="002A3250">
      <w:r>
        <w:separator/>
      </w:r>
    </w:p>
  </w:endnote>
  <w:endnote w:type="continuationSeparator" w:id="0">
    <w:p w:rsidR="002A3250" w:rsidRDefault="002A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2A3250" w:rsidP="0076554E">
    <w:pPr>
      <w:jc w:val="center"/>
      <w:rPr>
        <w:sz w:val="16"/>
        <w:szCs w:val="16"/>
      </w:rPr>
    </w:pPr>
    <w:hyperlink r:id="rId1" w:history="1">
      <w:r w:rsidRPr="00E57F2F">
        <w:rPr>
          <w:rStyle w:val="Hipervnculo"/>
          <w:sz w:val="16"/>
          <w:szCs w:val="16"/>
        </w:rPr>
        <w:t>www.contraloriabogota.gov.co</w:t>
      </w:r>
    </w:hyperlink>
  </w:p>
  <w:p w:rsidR="007732BF" w:rsidRPr="007732BF" w:rsidRDefault="002A3250" w:rsidP="0076554E">
    <w:pPr>
      <w:jc w:val="center"/>
      <w:rPr>
        <w:sz w:val="18"/>
        <w:szCs w:val="18"/>
      </w:rPr>
    </w:pPr>
    <w:r w:rsidRPr="007732BF">
      <w:rPr>
        <w:sz w:val="18"/>
        <w:szCs w:val="18"/>
      </w:rPr>
      <w:t>Código Postal 111321</w:t>
    </w:r>
  </w:p>
  <w:p w:rsidR="007732BF" w:rsidRPr="00A656FE" w:rsidRDefault="002A3250"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2A3250" w:rsidP="0076554E">
    <w:pPr>
      <w:jc w:val="center"/>
      <w:rPr>
        <w:sz w:val="18"/>
        <w:szCs w:val="18"/>
      </w:rPr>
    </w:pPr>
    <w:r w:rsidRPr="00A656FE">
      <w:rPr>
        <w:sz w:val="18"/>
        <w:szCs w:val="18"/>
      </w:rPr>
      <w:t>PBX 3358888</w:t>
    </w:r>
  </w:p>
  <w:p w:rsidR="007732BF" w:rsidRDefault="002A3250" w:rsidP="00BD6F23">
    <w:pPr>
      <w:pStyle w:val="Piedepgina"/>
      <w:jc w:val="left"/>
    </w:pPr>
  </w:p>
  <w:p w:rsidR="007732BF" w:rsidRDefault="002A32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50" w:rsidRDefault="002A3250">
      <w:r>
        <w:separator/>
      </w:r>
    </w:p>
  </w:footnote>
  <w:footnote w:type="continuationSeparator" w:id="0">
    <w:p w:rsidR="002A3250" w:rsidRDefault="002A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2A3250"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2A3250">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2A3250">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3-2015-21669</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2015-10-16 11:54</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706762</w:t>
                          </w:r>
                          <w:bookmarkEnd w:id="4"/>
                        </w:p>
                        <w:p w:rsidR="007732BF" w:rsidRPr="00C71928" w:rsidRDefault="002A3250">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2A3250">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2A3250">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13000-19851</w:t>
                          </w:r>
                          <w:bookmarkEnd w:id="9"/>
                        </w:p>
                        <w:p w:rsidR="007732BF" w:rsidRPr="00FC7DD4" w:rsidRDefault="002A3250">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706762</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2628"/>
    <w:multiLevelType w:val="hybridMultilevel"/>
    <w:tmpl w:val="0EEE3BF8"/>
    <w:lvl w:ilvl="0" w:tplc="D23A8906">
      <w:start w:val="1"/>
      <w:numFmt w:val="bullet"/>
      <w:lvlText w:val=""/>
      <w:lvlJc w:val="left"/>
      <w:pPr>
        <w:ind w:left="720" w:hanging="360"/>
      </w:pPr>
      <w:rPr>
        <w:rFonts w:ascii="Wingdings" w:hAnsi="Wingdings" w:hint="default"/>
      </w:rPr>
    </w:lvl>
    <w:lvl w:ilvl="1" w:tplc="0F5A6008" w:tentative="1">
      <w:start w:val="1"/>
      <w:numFmt w:val="bullet"/>
      <w:lvlText w:val="o"/>
      <w:lvlJc w:val="left"/>
      <w:pPr>
        <w:ind w:left="1440" w:hanging="360"/>
      </w:pPr>
      <w:rPr>
        <w:rFonts w:ascii="Courier New" w:hAnsi="Courier New" w:cs="Courier New" w:hint="default"/>
      </w:rPr>
    </w:lvl>
    <w:lvl w:ilvl="2" w:tplc="8146B908" w:tentative="1">
      <w:start w:val="1"/>
      <w:numFmt w:val="bullet"/>
      <w:lvlText w:val=""/>
      <w:lvlJc w:val="left"/>
      <w:pPr>
        <w:ind w:left="2160" w:hanging="360"/>
      </w:pPr>
      <w:rPr>
        <w:rFonts w:ascii="Wingdings" w:hAnsi="Wingdings" w:hint="default"/>
      </w:rPr>
    </w:lvl>
    <w:lvl w:ilvl="3" w:tplc="0DE4696C" w:tentative="1">
      <w:start w:val="1"/>
      <w:numFmt w:val="bullet"/>
      <w:lvlText w:val=""/>
      <w:lvlJc w:val="left"/>
      <w:pPr>
        <w:ind w:left="2880" w:hanging="360"/>
      </w:pPr>
      <w:rPr>
        <w:rFonts w:ascii="Symbol" w:hAnsi="Symbol" w:hint="default"/>
      </w:rPr>
    </w:lvl>
    <w:lvl w:ilvl="4" w:tplc="D4CC2726" w:tentative="1">
      <w:start w:val="1"/>
      <w:numFmt w:val="bullet"/>
      <w:lvlText w:val="o"/>
      <w:lvlJc w:val="left"/>
      <w:pPr>
        <w:ind w:left="3600" w:hanging="360"/>
      </w:pPr>
      <w:rPr>
        <w:rFonts w:ascii="Courier New" w:hAnsi="Courier New" w:cs="Courier New" w:hint="default"/>
      </w:rPr>
    </w:lvl>
    <w:lvl w:ilvl="5" w:tplc="5E242796" w:tentative="1">
      <w:start w:val="1"/>
      <w:numFmt w:val="bullet"/>
      <w:lvlText w:val=""/>
      <w:lvlJc w:val="left"/>
      <w:pPr>
        <w:ind w:left="4320" w:hanging="360"/>
      </w:pPr>
      <w:rPr>
        <w:rFonts w:ascii="Wingdings" w:hAnsi="Wingdings" w:hint="default"/>
      </w:rPr>
    </w:lvl>
    <w:lvl w:ilvl="6" w:tplc="09905AC2" w:tentative="1">
      <w:start w:val="1"/>
      <w:numFmt w:val="bullet"/>
      <w:lvlText w:val=""/>
      <w:lvlJc w:val="left"/>
      <w:pPr>
        <w:ind w:left="5040" w:hanging="360"/>
      </w:pPr>
      <w:rPr>
        <w:rFonts w:ascii="Symbol" w:hAnsi="Symbol" w:hint="default"/>
      </w:rPr>
    </w:lvl>
    <w:lvl w:ilvl="7" w:tplc="23BC4E30" w:tentative="1">
      <w:start w:val="1"/>
      <w:numFmt w:val="bullet"/>
      <w:lvlText w:val="o"/>
      <w:lvlJc w:val="left"/>
      <w:pPr>
        <w:ind w:left="5760" w:hanging="360"/>
      </w:pPr>
      <w:rPr>
        <w:rFonts w:ascii="Courier New" w:hAnsi="Courier New" w:cs="Courier New" w:hint="default"/>
      </w:rPr>
    </w:lvl>
    <w:lvl w:ilvl="8" w:tplc="0ACA4992" w:tentative="1">
      <w:start w:val="1"/>
      <w:numFmt w:val="bullet"/>
      <w:lvlText w:val=""/>
      <w:lvlJc w:val="left"/>
      <w:pPr>
        <w:ind w:left="6480" w:hanging="360"/>
      </w:pPr>
      <w:rPr>
        <w:rFonts w:ascii="Wingdings" w:hAnsi="Wingdings" w:hint="default"/>
      </w:rPr>
    </w:lvl>
  </w:abstractNum>
  <w:abstractNum w:abstractNumId="1">
    <w:nsid w:val="19132D1B"/>
    <w:multiLevelType w:val="hybridMultilevel"/>
    <w:tmpl w:val="8C8C72B6"/>
    <w:lvl w:ilvl="0" w:tplc="68026B00">
      <w:start w:val="3"/>
      <w:numFmt w:val="decimal"/>
      <w:lvlText w:val="%1."/>
      <w:lvlJc w:val="left"/>
      <w:pPr>
        <w:ind w:left="720" w:hanging="360"/>
      </w:pPr>
      <w:rPr>
        <w:rFonts w:hint="default"/>
      </w:rPr>
    </w:lvl>
    <w:lvl w:ilvl="1" w:tplc="44FCDE82" w:tentative="1">
      <w:start w:val="1"/>
      <w:numFmt w:val="lowerLetter"/>
      <w:lvlText w:val="%2."/>
      <w:lvlJc w:val="left"/>
      <w:pPr>
        <w:ind w:left="1440" w:hanging="360"/>
      </w:pPr>
    </w:lvl>
    <w:lvl w:ilvl="2" w:tplc="B83ED024" w:tentative="1">
      <w:start w:val="1"/>
      <w:numFmt w:val="lowerRoman"/>
      <w:lvlText w:val="%3."/>
      <w:lvlJc w:val="right"/>
      <w:pPr>
        <w:ind w:left="2160" w:hanging="180"/>
      </w:pPr>
    </w:lvl>
    <w:lvl w:ilvl="3" w:tplc="7DDE5502" w:tentative="1">
      <w:start w:val="1"/>
      <w:numFmt w:val="decimal"/>
      <w:lvlText w:val="%4."/>
      <w:lvlJc w:val="left"/>
      <w:pPr>
        <w:ind w:left="2880" w:hanging="360"/>
      </w:pPr>
    </w:lvl>
    <w:lvl w:ilvl="4" w:tplc="9DCAE894" w:tentative="1">
      <w:start w:val="1"/>
      <w:numFmt w:val="lowerLetter"/>
      <w:lvlText w:val="%5."/>
      <w:lvlJc w:val="left"/>
      <w:pPr>
        <w:ind w:left="3600" w:hanging="360"/>
      </w:pPr>
    </w:lvl>
    <w:lvl w:ilvl="5" w:tplc="24D6A3EC" w:tentative="1">
      <w:start w:val="1"/>
      <w:numFmt w:val="lowerRoman"/>
      <w:lvlText w:val="%6."/>
      <w:lvlJc w:val="right"/>
      <w:pPr>
        <w:ind w:left="4320" w:hanging="180"/>
      </w:pPr>
    </w:lvl>
    <w:lvl w:ilvl="6" w:tplc="08A27384" w:tentative="1">
      <w:start w:val="1"/>
      <w:numFmt w:val="decimal"/>
      <w:lvlText w:val="%7."/>
      <w:lvlJc w:val="left"/>
      <w:pPr>
        <w:ind w:left="5040" w:hanging="360"/>
      </w:pPr>
    </w:lvl>
    <w:lvl w:ilvl="7" w:tplc="27CE83EA" w:tentative="1">
      <w:start w:val="1"/>
      <w:numFmt w:val="lowerLetter"/>
      <w:lvlText w:val="%8."/>
      <w:lvlJc w:val="left"/>
      <w:pPr>
        <w:ind w:left="5760" w:hanging="360"/>
      </w:pPr>
    </w:lvl>
    <w:lvl w:ilvl="8" w:tplc="2174CBE8" w:tentative="1">
      <w:start w:val="1"/>
      <w:numFmt w:val="lowerRoman"/>
      <w:lvlText w:val="%9."/>
      <w:lvlJc w:val="right"/>
      <w:pPr>
        <w:ind w:left="6480" w:hanging="180"/>
      </w:pPr>
    </w:lvl>
  </w:abstractNum>
  <w:abstractNum w:abstractNumId="2">
    <w:nsid w:val="3DAB0B94"/>
    <w:multiLevelType w:val="hybridMultilevel"/>
    <w:tmpl w:val="139A7A3A"/>
    <w:lvl w:ilvl="0" w:tplc="2BEA2FD4">
      <w:start w:val="1"/>
      <w:numFmt w:val="decimal"/>
      <w:lvlText w:val="%1."/>
      <w:lvlJc w:val="left"/>
      <w:pPr>
        <w:tabs>
          <w:tab w:val="num" w:pos="720"/>
        </w:tabs>
        <w:ind w:left="720" w:hanging="360"/>
      </w:pPr>
      <w:rPr>
        <w:rFonts w:hint="default"/>
      </w:rPr>
    </w:lvl>
    <w:lvl w:ilvl="1" w:tplc="286E4F7A" w:tentative="1">
      <w:start w:val="1"/>
      <w:numFmt w:val="lowerLetter"/>
      <w:lvlText w:val="%2."/>
      <w:lvlJc w:val="left"/>
      <w:pPr>
        <w:tabs>
          <w:tab w:val="num" w:pos="1440"/>
        </w:tabs>
        <w:ind w:left="1440" w:hanging="360"/>
      </w:pPr>
    </w:lvl>
    <w:lvl w:ilvl="2" w:tplc="4C92DD40" w:tentative="1">
      <w:start w:val="1"/>
      <w:numFmt w:val="lowerRoman"/>
      <w:lvlText w:val="%3."/>
      <w:lvlJc w:val="right"/>
      <w:pPr>
        <w:tabs>
          <w:tab w:val="num" w:pos="2160"/>
        </w:tabs>
        <w:ind w:left="2160" w:hanging="180"/>
      </w:pPr>
    </w:lvl>
    <w:lvl w:ilvl="3" w:tplc="5FC0D300" w:tentative="1">
      <w:start w:val="1"/>
      <w:numFmt w:val="decimal"/>
      <w:lvlText w:val="%4."/>
      <w:lvlJc w:val="left"/>
      <w:pPr>
        <w:tabs>
          <w:tab w:val="num" w:pos="2880"/>
        </w:tabs>
        <w:ind w:left="2880" w:hanging="360"/>
      </w:pPr>
    </w:lvl>
    <w:lvl w:ilvl="4" w:tplc="1FC2ABA0" w:tentative="1">
      <w:start w:val="1"/>
      <w:numFmt w:val="lowerLetter"/>
      <w:lvlText w:val="%5."/>
      <w:lvlJc w:val="left"/>
      <w:pPr>
        <w:tabs>
          <w:tab w:val="num" w:pos="3600"/>
        </w:tabs>
        <w:ind w:left="3600" w:hanging="360"/>
      </w:pPr>
    </w:lvl>
    <w:lvl w:ilvl="5" w:tplc="B4DCE216" w:tentative="1">
      <w:start w:val="1"/>
      <w:numFmt w:val="lowerRoman"/>
      <w:lvlText w:val="%6."/>
      <w:lvlJc w:val="right"/>
      <w:pPr>
        <w:tabs>
          <w:tab w:val="num" w:pos="4320"/>
        </w:tabs>
        <w:ind w:left="4320" w:hanging="180"/>
      </w:pPr>
    </w:lvl>
    <w:lvl w:ilvl="6" w:tplc="1F901956" w:tentative="1">
      <w:start w:val="1"/>
      <w:numFmt w:val="decimal"/>
      <w:lvlText w:val="%7."/>
      <w:lvlJc w:val="left"/>
      <w:pPr>
        <w:tabs>
          <w:tab w:val="num" w:pos="5040"/>
        </w:tabs>
        <w:ind w:left="5040" w:hanging="360"/>
      </w:pPr>
    </w:lvl>
    <w:lvl w:ilvl="7" w:tplc="4EA46DBA" w:tentative="1">
      <w:start w:val="1"/>
      <w:numFmt w:val="lowerLetter"/>
      <w:lvlText w:val="%8."/>
      <w:lvlJc w:val="left"/>
      <w:pPr>
        <w:tabs>
          <w:tab w:val="num" w:pos="5760"/>
        </w:tabs>
        <w:ind w:left="5760" w:hanging="360"/>
      </w:pPr>
    </w:lvl>
    <w:lvl w:ilvl="8" w:tplc="0C127042" w:tentative="1">
      <w:start w:val="1"/>
      <w:numFmt w:val="lowerRoman"/>
      <w:lvlText w:val="%9."/>
      <w:lvlJc w:val="right"/>
      <w:pPr>
        <w:tabs>
          <w:tab w:val="num" w:pos="6480"/>
        </w:tabs>
        <w:ind w:left="6480" w:hanging="180"/>
      </w:pPr>
    </w:lvl>
  </w:abstractNum>
  <w:abstractNum w:abstractNumId="3">
    <w:nsid w:val="40716A12"/>
    <w:multiLevelType w:val="hybridMultilevel"/>
    <w:tmpl w:val="068ED166"/>
    <w:lvl w:ilvl="0" w:tplc="B1A4878E">
      <w:start w:val="1"/>
      <w:numFmt w:val="bullet"/>
      <w:lvlText w:val=""/>
      <w:lvlJc w:val="left"/>
      <w:pPr>
        <w:ind w:left="720" w:hanging="360"/>
      </w:pPr>
      <w:rPr>
        <w:rFonts w:ascii="Wingdings" w:hAnsi="Wingdings" w:hint="default"/>
      </w:rPr>
    </w:lvl>
    <w:lvl w:ilvl="1" w:tplc="C0CCCECE">
      <w:start w:val="1"/>
      <w:numFmt w:val="bullet"/>
      <w:lvlText w:val="o"/>
      <w:lvlJc w:val="left"/>
      <w:pPr>
        <w:ind w:left="1440" w:hanging="360"/>
      </w:pPr>
      <w:rPr>
        <w:rFonts w:ascii="Courier New" w:hAnsi="Courier New" w:cs="Courier New" w:hint="default"/>
      </w:rPr>
    </w:lvl>
    <w:lvl w:ilvl="2" w:tplc="4EC6735A" w:tentative="1">
      <w:start w:val="1"/>
      <w:numFmt w:val="bullet"/>
      <w:lvlText w:val=""/>
      <w:lvlJc w:val="left"/>
      <w:pPr>
        <w:ind w:left="2160" w:hanging="360"/>
      </w:pPr>
      <w:rPr>
        <w:rFonts w:ascii="Wingdings" w:hAnsi="Wingdings" w:hint="default"/>
      </w:rPr>
    </w:lvl>
    <w:lvl w:ilvl="3" w:tplc="BF8CD232" w:tentative="1">
      <w:start w:val="1"/>
      <w:numFmt w:val="bullet"/>
      <w:lvlText w:val=""/>
      <w:lvlJc w:val="left"/>
      <w:pPr>
        <w:ind w:left="2880" w:hanging="360"/>
      </w:pPr>
      <w:rPr>
        <w:rFonts w:ascii="Symbol" w:hAnsi="Symbol" w:hint="default"/>
      </w:rPr>
    </w:lvl>
    <w:lvl w:ilvl="4" w:tplc="69CAE6B2" w:tentative="1">
      <w:start w:val="1"/>
      <w:numFmt w:val="bullet"/>
      <w:lvlText w:val="o"/>
      <w:lvlJc w:val="left"/>
      <w:pPr>
        <w:ind w:left="3600" w:hanging="360"/>
      </w:pPr>
      <w:rPr>
        <w:rFonts w:ascii="Courier New" w:hAnsi="Courier New" w:cs="Courier New" w:hint="default"/>
      </w:rPr>
    </w:lvl>
    <w:lvl w:ilvl="5" w:tplc="F9AE458E" w:tentative="1">
      <w:start w:val="1"/>
      <w:numFmt w:val="bullet"/>
      <w:lvlText w:val=""/>
      <w:lvlJc w:val="left"/>
      <w:pPr>
        <w:ind w:left="4320" w:hanging="360"/>
      </w:pPr>
      <w:rPr>
        <w:rFonts w:ascii="Wingdings" w:hAnsi="Wingdings" w:hint="default"/>
      </w:rPr>
    </w:lvl>
    <w:lvl w:ilvl="6" w:tplc="D2021166" w:tentative="1">
      <w:start w:val="1"/>
      <w:numFmt w:val="bullet"/>
      <w:lvlText w:val=""/>
      <w:lvlJc w:val="left"/>
      <w:pPr>
        <w:ind w:left="5040" w:hanging="360"/>
      </w:pPr>
      <w:rPr>
        <w:rFonts w:ascii="Symbol" w:hAnsi="Symbol" w:hint="default"/>
      </w:rPr>
    </w:lvl>
    <w:lvl w:ilvl="7" w:tplc="B91847C8" w:tentative="1">
      <w:start w:val="1"/>
      <w:numFmt w:val="bullet"/>
      <w:lvlText w:val="o"/>
      <w:lvlJc w:val="left"/>
      <w:pPr>
        <w:ind w:left="5760" w:hanging="360"/>
      </w:pPr>
      <w:rPr>
        <w:rFonts w:ascii="Courier New" w:hAnsi="Courier New" w:cs="Courier New" w:hint="default"/>
      </w:rPr>
    </w:lvl>
    <w:lvl w:ilvl="8" w:tplc="26B2DA7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34"/>
    <w:rsid w:val="000D7A7C"/>
    <w:rsid w:val="002A3250"/>
    <w:rsid w:val="00C55D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B05DBC2-B115-4622-973F-25AE4EC4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4275-D3A2-451B-83CF-6B11432F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6</Pages>
  <Words>1645</Words>
  <Characters>9048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2015-10-16T16:55:00Z</dcterms:created>
  <dcterms:modified xsi:type="dcterms:W3CDTF">2015-10-16T16:55:00Z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